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6ED9FEB1"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bookmarkStart w:id="0" w:name="_GoBack"/>
      <w:bookmarkEnd w:id="0"/>
      <w:r w:rsidRPr="005C7597">
        <w:rPr>
          <w:rFonts w:ascii="Arial" w:hAnsi="Arial" w:cs="Arial"/>
          <w:b/>
          <w:bCs/>
          <w:sz w:val="24"/>
        </w:rPr>
        <w:t>3GPP TSG RAN WG1</w:t>
      </w:r>
      <w:r w:rsidR="007F5483">
        <w:rPr>
          <w:rFonts w:ascii="Arial" w:hAnsi="Arial" w:cs="Arial"/>
          <w:b/>
          <w:bCs/>
          <w:sz w:val="24"/>
        </w:rPr>
        <w:t>#101</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3220D4">
        <w:rPr>
          <w:rFonts w:ascii="Arial" w:hAnsi="Arial" w:cs="Arial"/>
          <w:b/>
          <w:bCs/>
          <w:sz w:val="24"/>
        </w:rPr>
        <w:t>3879</w:t>
      </w:r>
    </w:p>
    <w:p w14:paraId="0DDD9E9D" w14:textId="469F770C"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7B65F9">
        <w:rPr>
          <w:rFonts w:ascii="Arial" w:eastAsia="MS Mincho" w:hAnsi="Arial" w:cs="Arial"/>
          <w:b/>
          <w:bCs/>
          <w:sz w:val="24"/>
          <w:lang w:eastAsia="ja-JP"/>
        </w:rPr>
        <w:t>2</w:t>
      </w:r>
      <w:r w:rsidR="007F5483">
        <w:rPr>
          <w:rFonts w:ascii="Arial" w:eastAsia="MS Mincho" w:hAnsi="Arial" w:cs="Arial"/>
          <w:b/>
          <w:bCs/>
          <w:sz w:val="24"/>
          <w:lang w:eastAsia="ja-JP"/>
        </w:rPr>
        <w:t>5</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7F5483">
        <w:rPr>
          <w:rFonts w:ascii="Arial" w:eastAsia="MS Mincho" w:hAnsi="Arial" w:cs="Arial"/>
          <w:b/>
          <w:bCs/>
          <w:sz w:val="24"/>
          <w:lang w:eastAsia="ja-JP"/>
        </w:rPr>
        <w:t>May</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7F5483">
        <w:rPr>
          <w:rFonts w:ascii="Arial" w:eastAsia="MS Mincho" w:hAnsi="Arial" w:cs="Arial"/>
          <w:b/>
          <w:bCs/>
          <w:sz w:val="24"/>
          <w:lang w:eastAsia="ja-JP"/>
        </w:rPr>
        <w:t>5</w:t>
      </w:r>
      <w:r w:rsidR="009812A4" w:rsidRPr="009812A4">
        <w:rPr>
          <w:rFonts w:ascii="Arial" w:eastAsia="MS Mincho" w:hAnsi="Arial" w:cs="Arial"/>
          <w:b/>
          <w:bCs/>
          <w:sz w:val="24"/>
          <w:vertAlign w:val="superscript"/>
          <w:lang w:eastAsia="ja-JP"/>
        </w:rPr>
        <w:t>th</w:t>
      </w:r>
      <w:r w:rsidR="009812A4">
        <w:rPr>
          <w:rFonts w:ascii="Arial" w:eastAsia="MS Mincho" w:hAnsi="Arial" w:cs="Arial"/>
          <w:b/>
          <w:bCs/>
          <w:sz w:val="24"/>
          <w:lang w:eastAsia="ja-JP"/>
        </w:rPr>
        <w:t xml:space="preserve"> </w:t>
      </w:r>
      <w:r w:rsidR="007F5483">
        <w:rPr>
          <w:rFonts w:ascii="Arial" w:eastAsia="MS Mincho" w:hAnsi="Arial" w:cs="Arial"/>
          <w:b/>
          <w:bCs/>
          <w:sz w:val="24"/>
          <w:lang w:eastAsia="ja-JP"/>
        </w:rPr>
        <w:t>June</w:t>
      </w:r>
      <w:r w:rsidR="007B65F9">
        <w:rPr>
          <w:rFonts w:ascii="Arial" w:eastAsia="MS Mincho" w:hAnsi="Arial" w:cs="Arial"/>
          <w:b/>
          <w:bCs/>
          <w:sz w:val="24"/>
          <w:lang w:eastAsia="ja-JP"/>
        </w:rPr>
        <w:t>,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0971B12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7B65F9">
        <w:rPr>
          <w:rFonts w:ascii="Arial" w:hAnsi="Arial"/>
          <w:sz w:val="24"/>
          <w:lang w:val="en-US" w:eastAsia="ko-KR"/>
        </w:rPr>
        <w:t>6.1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BBC231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D3293" w:rsidRPr="008D3293">
        <w:rPr>
          <w:rFonts w:ascii="Arial" w:hAnsi="Arial"/>
          <w:sz w:val="24"/>
          <w:lang w:val="en-US"/>
        </w:rPr>
        <w:t>On maintenance of Rel.16 MU CSI enhancements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4A053BAD" w14:textId="77777777" w:rsidR="001D5A21" w:rsidRPr="002958FD" w:rsidRDefault="001D5A21" w:rsidP="001D5A21">
      <w:pPr>
        <w:pStyle w:val="Heading1"/>
        <w:tabs>
          <w:tab w:val="clear" w:pos="0"/>
        </w:tabs>
        <w:spacing w:before="240" w:after="60"/>
        <w:ind w:left="360" w:hanging="400"/>
        <w:jc w:val="both"/>
      </w:pPr>
      <w:r w:rsidRPr="002958FD">
        <w:t>I</w:t>
      </w:r>
      <w:r w:rsidRPr="002958FD">
        <w:rPr>
          <w:rFonts w:hint="eastAsia"/>
        </w:rPr>
        <w:t>ntroduction</w:t>
      </w:r>
    </w:p>
    <w:p w14:paraId="586E5852" w14:textId="763B02A5" w:rsidR="006B0849" w:rsidRPr="00A754BA" w:rsidRDefault="007C53B8" w:rsidP="001D5A21">
      <w:pPr>
        <w:spacing w:after="60"/>
        <w:rPr>
          <w:sz w:val="20"/>
          <w:lang w:val="en-US"/>
        </w:rPr>
      </w:pPr>
      <w:r w:rsidRPr="00A754BA">
        <w:rPr>
          <w:sz w:val="20"/>
          <w:lang w:val="en-US"/>
        </w:rPr>
        <w:t xml:space="preserve">The contribution discusses </w:t>
      </w:r>
      <w:r w:rsidR="002D71A5">
        <w:rPr>
          <w:sz w:val="20"/>
          <w:lang w:val="en-US"/>
        </w:rPr>
        <w:t>our view about some</w:t>
      </w:r>
      <w:r w:rsidRPr="00A754BA">
        <w:rPr>
          <w:sz w:val="20"/>
          <w:lang w:val="en-US"/>
        </w:rPr>
        <w:t xml:space="preserve"> of the UE c</w:t>
      </w:r>
      <w:r w:rsidR="009F63E0">
        <w:rPr>
          <w:sz w:val="20"/>
          <w:lang w:val="en-US"/>
        </w:rPr>
        <w:t>apability related features</w:t>
      </w:r>
      <w:r w:rsidRPr="00A754BA">
        <w:rPr>
          <w:sz w:val="20"/>
          <w:lang w:val="en-US"/>
        </w:rPr>
        <w:t>.</w:t>
      </w:r>
    </w:p>
    <w:p w14:paraId="0DF3B796" w14:textId="77777777" w:rsidR="00AA7461" w:rsidRDefault="00AA7461" w:rsidP="00AA7461">
      <w:pPr>
        <w:pStyle w:val="Heading1"/>
        <w:tabs>
          <w:tab w:val="clear" w:pos="0"/>
        </w:tabs>
        <w:spacing w:before="240" w:after="60"/>
        <w:ind w:left="360" w:hanging="400"/>
        <w:jc w:val="both"/>
      </w:pPr>
      <w:r>
        <w:t>UE capability</w:t>
      </w:r>
    </w:p>
    <w:p w14:paraId="0939F032" w14:textId="65F9E656" w:rsidR="00AF1430" w:rsidRDefault="0061504A" w:rsidP="008413A3">
      <w:pPr>
        <w:spacing w:after="120" w:line="288" w:lineRule="auto"/>
        <w:rPr>
          <w:sz w:val="20"/>
          <w:lang w:val="en-US"/>
        </w:rPr>
      </w:pPr>
      <w:r>
        <w:rPr>
          <w:sz w:val="20"/>
          <w:lang w:val="en-US"/>
        </w:rPr>
        <w:t>T</w:t>
      </w:r>
      <w:r w:rsidR="00AF1430" w:rsidRPr="00AF1430">
        <w:rPr>
          <w:sz w:val="20"/>
          <w:lang w:val="en-US"/>
        </w:rPr>
        <w:t>he outcome of UE featu</w:t>
      </w:r>
      <w:r w:rsidR="009E3868">
        <w:rPr>
          <w:sz w:val="20"/>
          <w:lang w:val="en-US"/>
        </w:rPr>
        <w:t xml:space="preserve">re discussion </w:t>
      </w:r>
      <w:r>
        <w:rPr>
          <w:sz w:val="20"/>
          <w:lang w:val="en-US"/>
        </w:rPr>
        <w:t>during</w:t>
      </w:r>
      <w:r w:rsidR="009E3868">
        <w:rPr>
          <w:sz w:val="20"/>
          <w:lang w:val="en-US"/>
        </w:rPr>
        <w:t xml:space="preserve"> RAN1#100-b-e [1</w:t>
      </w:r>
      <w:r w:rsidR="00AF1430" w:rsidRPr="00AF1430">
        <w:rPr>
          <w:sz w:val="20"/>
          <w:lang w:val="en-US"/>
        </w:rPr>
        <w:t>]</w:t>
      </w:r>
      <w:r>
        <w:rPr>
          <w:sz w:val="20"/>
          <w:lang w:val="en-US"/>
        </w:rPr>
        <w:t xml:space="preserve"> includes the following codebook-related feature groups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33"/>
        <w:gridCol w:w="3314"/>
        <w:gridCol w:w="5682"/>
      </w:tblGrid>
      <w:tr w:rsidR="009C28E6" w:rsidRPr="000F1893" w14:paraId="50545EB4" w14:textId="77777777" w:rsidTr="009C2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C188E" w14:textId="77777777" w:rsidR="009C28E6" w:rsidRPr="000F1893" w:rsidRDefault="009C28E6" w:rsidP="00A83C4E">
            <w:pPr>
              <w:pStyle w:val="TAL"/>
              <w:rPr>
                <w:color w:val="000000" w:themeColor="text1"/>
              </w:rPr>
            </w:pPr>
            <w:r w:rsidRPr="000F1893">
              <w:rPr>
                <w:rFonts w:eastAsia="Malgun Gothic"/>
                <w:color w:val="000000" w:themeColor="text1"/>
                <w:lang w:eastAsia="ko-KR"/>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DEAC" w14:textId="77777777" w:rsidR="009C28E6" w:rsidRPr="000F1893" w:rsidRDefault="009C28E6" w:rsidP="00A83C4E">
            <w:pPr>
              <w:pStyle w:val="TAL"/>
              <w:rPr>
                <w:color w:val="000000" w:themeColor="text1"/>
              </w:rPr>
            </w:pPr>
            <w:r w:rsidRPr="000F1893">
              <w:rPr>
                <w:color w:val="000000" w:themeColor="text1"/>
              </w:rPr>
              <w:t>Regular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93337" w14:textId="77777777" w:rsidR="009C28E6" w:rsidRPr="000F1893" w:rsidRDefault="009C28E6" w:rsidP="00A83C4E">
            <w:pPr>
              <w:pStyle w:val="TAL"/>
              <w:rPr>
                <w:rFonts w:eastAsia="Malgun Gothic"/>
                <w:color w:val="000000" w:themeColor="text1"/>
                <w:lang w:eastAsia="ko-KR"/>
              </w:rPr>
            </w:pPr>
            <w:r w:rsidRPr="000F1893">
              <w:rPr>
                <w:rFonts w:eastAsia="Malgun Gothic"/>
                <w:color w:val="000000" w:themeColor="text1"/>
                <w:lang w:eastAsia="ko-KR"/>
              </w:rPr>
              <w:t>Basic components:</w:t>
            </w:r>
          </w:p>
          <w:p w14:paraId="3E2EB0CD" w14:textId="77777777" w:rsidR="009C28E6" w:rsidRPr="000F1893" w:rsidRDefault="009C28E6" w:rsidP="009C28E6">
            <w:pPr>
              <w:pStyle w:val="TAL"/>
              <w:numPr>
                <w:ilvl w:val="0"/>
                <w:numId w:val="44"/>
              </w:numPr>
              <w:overflowPunct/>
              <w:autoSpaceDE/>
              <w:autoSpaceDN/>
              <w:adjustRightInd/>
              <w:textAlignment w:val="auto"/>
              <w:rPr>
                <w:rFonts w:eastAsia="Malgun Gothic"/>
                <w:color w:val="000000" w:themeColor="text1"/>
                <w:lang w:eastAsia="ko-KR"/>
              </w:rPr>
            </w:pPr>
            <w:r w:rsidRPr="000F1893">
              <w:rPr>
                <w:rFonts w:eastAsia="Malgun Gothic"/>
                <w:color w:val="000000" w:themeColor="text1"/>
                <w:lang w:eastAsia="ko-KR"/>
              </w:rPr>
              <w:t>{Max # of Tx ports in one resource, Max # of resources and total # of Tx ports} to support regular eType-II for R=1</w:t>
            </w:r>
          </w:p>
          <w:p w14:paraId="204190ED" w14:textId="32ECCCD3" w:rsidR="009C28E6" w:rsidRPr="000F1893" w:rsidRDefault="009C28E6" w:rsidP="009C28E6">
            <w:pPr>
              <w:pStyle w:val="TAL"/>
              <w:numPr>
                <w:ilvl w:val="0"/>
                <w:numId w:val="44"/>
              </w:numPr>
              <w:overflowPunct/>
              <w:autoSpaceDE/>
              <w:autoSpaceDN/>
              <w:adjustRightInd/>
              <w:textAlignment w:val="auto"/>
              <w:rPr>
                <w:rFonts w:eastAsia="Malgun Gothic"/>
                <w:color w:val="000000" w:themeColor="text1"/>
                <w:lang w:eastAsia="ko-KR"/>
              </w:rPr>
            </w:pPr>
            <w:r w:rsidRPr="000F1893">
              <w:rPr>
                <w:rFonts w:eastAsia="Malgun Gothic"/>
                <w:color w:val="000000" w:themeColor="text1"/>
                <w:lang w:eastAsia="ko-KR"/>
              </w:rPr>
              <w:t>Su</w:t>
            </w:r>
            <w:r w:rsidR="00A972B3">
              <w:rPr>
                <w:rFonts w:eastAsia="Malgun Gothic"/>
                <w:color w:val="000000" w:themeColor="text1"/>
                <w:lang w:eastAsia="ko-KR"/>
              </w:rPr>
              <w:t>pport of parameter combinations</w:t>
            </w:r>
            <w:r w:rsidRPr="000F1893">
              <w:rPr>
                <w:rFonts w:eastAsia="Malgun Gothic"/>
                <w:color w:val="000000" w:themeColor="text1"/>
                <w:lang w:eastAsia="ko-KR"/>
              </w:rPr>
              <w:t xml:space="preserve"> 1-6</w:t>
            </w:r>
          </w:p>
          <w:p w14:paraId="0E618F85" w14:textId="77777777" w:rsidR="009C28E6" w:rsidRPr="000F1893" w:rsidRDefault="009C28E6" w:rsidP="009C28E6">
            <w:pPr>
              <w:pStyle w:val="TAL"/>
              <w:numPr>
                <w:ilvl w:val="0"/>
                <w:numId w:val="44"/>
              </w:numPr>
              <w:overflowPunct/>
              <w:autoSpaceDE/>
              <w:autoSpaceDN/>
              <w:adjustRightInd/>
              <w:textAlignment w:val="auto"/>
              <w:rPr>
                <w:color w:val="000000" w:themeColor="text1"/>
              </w:rPr>
            </w:pPr>
            <w:r w:rsidRPr="000F1893">
              <w:rPr>
                <w:rFonts w:eastAsia="Malgun Gothic"/>
                <w:color w:val="000000" w:themeColor="text1"/>
                <w:lang w:eastAsia="ko-KR"/>
              </w:rPr>
              <w:t>Support of rank 1,2</w:t>
            </w:r>
          </w:p>
          <w:p w14:paraId="4FCB965D" w14:textId="77777777" w:rsidR="009C28E6" w:rsidRPr="000F1893" w:rsidRDefault="009C28E6" w:rsidP="009C28E6">
            <w:pPr>
              <w:pStyle w:val="TAL"/>
              <w:numPr>
                <w:ilvl w:val="0"/>
                <w:numId w:val="44"/>
              </w:numPr>
              <w:overflowPunct/>
              <w:autoSpaceDE/>
              <w:autoSpaceDN/>
              <w:adjustRightInd/>
              <w:textAlignment w:val="auto"/>
              <w:rPr>
                <w:color w:val="000000" w:themeColor="text1"/>
              </w:rPr>
            </w:pPr>
            <w:r w:rsidRPr="00752EC4">
              <w:rPr>
                <w:rFonts w:eastAsia="Malgun Gothic"/>
                <w:color w:val="000000" w:themeColor="text1"/>
                <w:highlight w:val="yellow"/>
                <w:lang w:eastAsia="ko-KR"/>
              </w:rPr>
              <w:t>FFS: CBSR with hard amplitude restriction</w:t>
            </w:r>
          </w:p>
        </w:tc>
      </w:tr>
      <w:tr w:rsidR="009C28E6" w:rsidRPr="000F1893" w14:paraId="5B7745F9" w14:textId="77777777" w:rsidTr="009C2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C1EEF7" w14:textId="77777777" w:rsidR="009C28E6" w:rsidRPr="000F1893" w:rsidRDefault="009C28E6" w:rsidP="00A83C4E">
            <w:pPr>
              <w:pStyle w:val="TAL"/>
              <w:rPr>
                <w:color w:val="000000" w:themeColor="text1"/>
              </w:rPr>
            </w:pPr>
            <w:r w:rsidRPr="000F1893">
              <w:rPr>
                <w:rFonts w:eastAsia="Malgun Gothic"/>
                <w:color w:val="000000" w:themeColor="text1"/>
                <w:lang w:eastAsia="ko-KR"/>
              </w:rPr>
              <w:t>16-3a-1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94FD2" w14:textId="77777777" w:rsidR="009C28E6" w:rsidRPr="000F1893" w:rsidRDefault="009C28E6" w:rsidP="00A83C4E">
            <w:pPr>
              <w:pStyle w:val="TAL"/>
              <w:rPr>
                <w:color w:val="000000" w:themeColor="text1"/>
              </w:rPr>
            </w:pPr>
            <w:r w:rsidRPr="000F1893">
              <w:rPr>
                <w:color w:val="000000" w:themeColor="text1"/>
              </w:rPr>
              <w:t>Support of PMI sub-bands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8202D" w14:textId="77777777" w:rsidR="009C28E6" w:rsidRPr="000F1893" w:rsidRDefault="009C28E6" w:rsidP="00A83C4E">
            <w:pPr>
              <w:pStyle w:val="TAL"/>
              <w:rPr>
                <w:color w:val="000000" w:themeColor="text1"/>
              </w:rPr>
            </w:pPr>
            <w:r w:rsidRPr="000F1893">
              <w:rPr>
                <w:rFonts w:eastAsia="Malgun Gothic"/>
                <w:color w:val="000000" w:themeColor="text1"/>
                <w:lang w:eastAsia="ko-KR"/>
              </w:rPr>
              <w:t>{Max # of Tx ports in one resource, Max # of resources and total # of Tx ports} to support regular eType-II for R=2</w:t>
            </w:r>
          </w:p>
        </w:tc>
      </w:tr>
      <w:tr w:rsidR="009C28E6" w:rsidRPr="000F1893" w14:paraId="25DF49C8" w14:textId="77777777" w:rsidTr="009C2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44351" w14:textId="77777777" w:rsidR="009C28E6" w:rsidRPr="000F1893" w:rsidRDefault="009C28E6" w:rsidP="00A83C4E">
            <w:pPr>
              <w:pStyle w:val="TAL"/>
              <w:rPr>
                <w:color w:val="000000" w:themeColor="text1"/>
              </w:rPr>
            </w:pPr>
            <w:r w:rsidRPr="000F1893">
              <w:rPr>
                <w:rFonts w:eastAsia="Malgun Gothic"/>
                <w:color w:val="000000" w:themeColor="text1"/>
                <w:lang w:eastAsia="ko-KR"/>
              </w:rPr>
              <w:t>16-3a-2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73671" w14:textId="77777777" w:rsidR="009C28E6" w:rsidRPr="000F1893" w:rsidRDefault="009C28E6" w:rsidP="00A83C4E">
            <w:pPr>
              <w:pStyle w:val="TAL"/>
              <w:rPr>
                <w:color w:val="000000" w:themeColor="text1"/>
              </w:rPr>
            </w:pPr>
            <w:r w:rsidRPr="000F1893">
              <w:rPr>
                <w:color w:val="000000" w:themeColor="text1"/>
              </w:rPr>
              <w:t>Support of parameter combinations 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079D9" w14:textId="77777777" w:rsidR="009C28E6" w:rsidRPr="000F1893" w:rsidRDefault="009C28E6" w:rsidP="00A83C4E">
            <w:pPr>
              <w:pStyle w:val="TAL"/>
              <w:rPr>
                <w:color w:val="000000" w:themeColor="text1"/>
              </w:rPr>
            </w:pPr>
            <w:r w:rsidRPr="000F1893">
              <w:rPr>
                <w:rFonts w:eastAsia="Malgun Gothic"/>
                <w:color w:val="000000" w:themeColor="text1"/>
                <w:lang w:eastAsia="ko-KR"/>
              </w:rPr>
              <w:t xml:space="preserve">Support of </w:t>
            </w:r>
            <w:r w:rsidRPr="000F1893">
              <w:rPr>
                <w:color w:val="000000" w:themeColor="text1"/>
                <w:lang w:eastAsia="ko-KR"/>
              </w:rPr>
              <w:t>parameter combinations 7-8</w:t>
            </w:r>
          </w:p>
        </w:tc>
      </w:tr>
      <w:tr w:rsidR="009C28E6" w:rsidRPr="000F1893" w14:paraId="66E2DC6A" w14:textId="77777777" w:rsidTr="009C2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E503B" w14:textId="77777777" w:rsidR="009C28E6" w:rsidRPr="000F1893" w:rsidRDefault="009C28E6" w:rsidP="00A83C4E">
            <w:pPr>
              <w:pStyle w:val="TAL"/>
              <w:rPr>
                <w:color w:val="000000" w:themeColor="text1"/>
              </w:rPr>
            </w:pPr>
            <w:r w:rsidRPr="000F1893">
              <w:rPr>
                <w:rFonts w:eastAsia="Malgun Gothic"/>
                <w:color w:val="000000" w:themeColor="text1"/>
                <w:lang w:eastAsia="ko-KR"/>
              </w:rPr>
              <w:t>16-3a-3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8A15A" w14:textId="77777777" w:rsidR="009C28E6" w:rsidRPr="000F1893" w:rsidRDefault="009C28E6" w:rsidP="00A83C4E">
            <w:pPr>
              <w:pStyle w:val="TAL"/>
              <w:rPr>
                <w:color w:val="000000" w:themeColor="text1"/>
              </w:rPr>
            </w:pPr>
            <w:r w:rsidRPr="000F1893">
              <w:rPr>
                <w:rFonts w:eastAsia="Malgun Gothic"/>
                <w:color w:val="000000" w:themeColor="text1"/>
                <w:lang w:eastAsia="ko-KR"/>
              </w:rPr>
              <w:t>Support of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E332" w14:textId="77777777" w:rsidR="009C28E6" w:rsidRPr="000F1893" w:rsidRDefault="009C28E6" w:rsidP="00A83C4E">
            <w:pPr>
              <w:pStyle w:val="TAL"/>
              <w:rPr>
                <w:color w:val="000000" w:themeColor="text1"/>
              </w:rPr>
            </w:pPr>
            <w:r w:rsidRPr="000F1893">
              <w:rPr>
                <w:rFonts w:eastAsia="Malgun Gothic"/>
                <w:color w:val="000000" w:themeColor="text1"/>
                <w:lang w:eastAsia="ko-KR"/>
              </w:rPr>
              <w:t>Support of rank 3,4</w:t>
            </w:r>
          </w:p>
        </w:tc>
      </w:tr>
      <w:tr w:rsidR="009C28E6" w:rsidRPr="000F1893" w14:paraId="40891D30" w14:textId="77777777" w:rsidTr="009C2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EB3E3" w14:textId="77777777" w:rsidR="009C28E6" w:rsidRPr="000F1893" w:rsidRDefault="009C28E6" w:rsidP="00A83C4E">
            <w:pPr>
              <w:pStyle w:val="TAL"/>
              <w:rPr>
                <w:color w:val="000000" w:themeColor="text1"/>
              </w:rPr>
            </w:pPr>
            <w:r w:rsidRPr="000F1893">
              <w:rPr>
                <w:rFonts w:eastAsia="Malgun Gothic"/>
                <w:color w:val="000000" w:themeColor="text1"/>
                <w:lang w:eastAsia="ko-KR"/>
              </w:rPr>
              <w:t>16-3a-4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7DC17" w14:textId="77777777" w:rsidR="009C28E6" w:rsidRPr="000F1893" w:rsidRDefault="009C28E6" w:rsidP="00A83C4E">
            <w:pPr>
              <w:pStyle w:val="TAL"/>
              <w:rPr>
                <w:color w:val="000000" w:themeColor="text1"/>
              </w:rPr>
            </w:pPr>
            <w:r w:rsidRPr="000F1893">
              <w:rPr>
                <w:rFonts w:eastAsia="Malgun Gothic"/>
                <w:color w:val="000000" w:themeColor="text1"/>
                <w:lang w:eastAsia="ko-KR"/>
              </w:rPr>
              <w:t>CBSR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322EB" w14:textId="77777777" w:rsidR="009C28E6" w:rsidRPr="000F1893" w:rsidRDefault="009C28E6" w:rsidP="00A83C4E">
            <w:pPr>
              <w:pStyle w:val="TAL"/>
              <w:rPr>
                <w:rFonts w:eastAsia="Malgun Gothic"/>
                <w:color w:val="000000" w:themeColor="text1"/>
                <w:lang w:eastAsia="ko-KR"/>
              </w:rPr>
            </w:pPr>
            <w:r w:rsidRPr="000F1893">
              <w:rPr>
                <w:rFonts w:eastAsia="Malgun Gothic"/>
                <w:color w:val="000000" w:themeColor="text1"/>
                <w:lang w:eastAsia="ko-KR"/>
              </w:rPr>
              <w:t xml:space="preserve">ALT 1) CBSR with soft amplitude restriction (capture consequence if not supported </w:t>
            </w:r>
            <w:r w:rsidRPr="000F1893">
              <w:rPr>
                <w:rFonts w:eastAsia="Malgun Gothic"/>
                <w:color w:val="000000" w:themeColor="text1"/>
                <w:lang w:eastAsia="ko-KR"/>
              </w:rPr>
              <w:sym w:font="Wingdings" w:char="F0E0"/>
            </w:r>
            <w:r w:rsidRPr="000F1893">
              <w:rPr>
                <w:rFonts w:eastAsia="Malgun Gothic"/>
                <w:color w:val="000000" w:themeColor="text1"/>
                <w:lang w:eastAsia="ko-KR"/>
              </w:rPr>
              <w:t xml:space="preserve"> hard amplitude restriction is supported)</w:t>
            </w:r>
          </w:p>
          <w:p w14:paraId="7BDF4C90" w14:textId="77777777" w:rsidR="009C28E6" w:rsidRPr="000F1893" w:rsidRDefault="009C28E6" w:rsidP="00A83C4E">
            <w:pPr>
              <w:pStyle w:val="TAL"/>
              <w:rPr>
                <w:color w:val="000000" w:themeColor="text1"/>
              </w:rPr>
            </w:pPr>
            <w:r w:rsidRPr="000F1893">
              <w:rPr>
                <w:rFonts w:eastAsia="Malgun Gothic"/>
                <w:color w:val="000000" w:themeColor="text1"/>
                <w:lang w:eastAsia="ko-KR"/>
              </w:rPr>
              <w:t>ALT 2) CBSR</w:t>
            </w:r>
          </w:p>
        </w:tc>
      </w:tr>
      <w:tr w:rsidR="009C28E6" w:rsidRPr="000F1893" w14:paraId="588C5DB1" w14:textId="77777777" w:rsidTr="009C2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181FE" w14:textId="77777777" w:rsidR="009C28E6" w:rsidRPr="000F1893" w:rsidRDefault="009C28E6" w:rsidP="00A83C4E">
            <w:pPr>
              <w:pStyle w:val="TAL"/>
              <w:rPr>
                <w:color w:val="000000" w:themeColor="text1"/>
              </w:rPr>
            </w:pPr>
            <w:r w:rsidRPr="000F1893">
              <w:rPr>
                <w:rFonts w:eastAsia="Malgun Gothic"/>
                <w:color w:val="000000" w:themeColor="text1"/>
                <w:lang w:eastAsia="ko-KR"/>
              </w:rPr>
              <w:t>16-3b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4D905" w14:textId="77777777" w:rsidR="009C28E6" w:rsidRPr="000F1893" w:rsidRDefault="009C28E6" w:rsidP="00A83C4E">
            <w:pPr>
              <w:pStyle w:val="TAL"/>
              <w:rPr>
                <w:color w:val="000000" w:themeColor="text1"/>
              </w:rPr>
            </w:pPr>
            <w:r w:rsidRPr="000F1893">
              <w:rPr>
                <w:color w:val="000000" w:themeColor="text1"/>
              </w:rPr>
              <w:t>Port selection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6764C" w14:textId="77777777" w:rsidR="009C28E6" w:rsidRPr="000F1893" w:rsidRDefault="009C28E6" w:rsidP="00A83C4E">
            <w:pPr>
              <w:pStyle w:val="TAL"/>
              <w:rPr>
                <w:rFonts w:eastAsia="Malgun Gothic"/>
                <w:color w:val="000000" w:themeColor="text1"/>
                <w:lang w:eastAsia="ko-KR"/>
              </w:rPr>
            </w:pPr>
            <w:r w:rsidRPr="000F1893">
              <w:rPr>
                <w:rFonts w:eastAsia="Malgun Gothic"/>
                <w:color w:val="000000" w:themeColor="text1"/>
                <w:lang w:eastAsia="ko-KR"/>
              </w:rPr>
              <w:t>Basic components:</w:t>
            </w:r>
          </w:p>
          <w:p w14:paraId="7BC52795" w14:textId="77777777" w:rsidR="009C28E6" w:rsidRPr="000F1893" w:rsidRDefault="009C28E6" w:rsidP="009C28E6">
            <w:pPr>
              <w:pStyle w:val="TAL"/>
              <w:numPr>
                <w:ilvl w:val="0"/>
                <w:numId w:val="45"/>
              </w:numPr>
              <w:overflowPunct/>
              <w:autoSpaceDE/>
              <w:autoSpaceDN/>
              <w:adjustRightInd/>
              <w:textAlignment w:val="auto"/>
              <w:rPr>
                <w:rFonts w:eastAsia="Malgun Gothic"/>
                <w:color w:val="000000" w:themeColor="text1"/>
                <w:lang w:eastAsia="ko-KR"/>
              </w:rPr>
            </w:pPr>
            <w:r w:rsidRPr="000F1893">
              <w:rPr>
                <w:rFonts w:eastAsia="Malgun Gothic"/>
                <w:color w:val="000000" w:themeColor="text1"/>
                <w:lang w:eastAsia="ko-KR"/>
              </w:rPr>
              <w:t>{Max # of Tx ports in one resource, Max # of resources and total # of Tx ports} to support port selection eType-II for R=1</w:t>
            </w:r>
          </w:p>
          <w:p w14:paraId="558C877F" w14:textId="77777777" w:rsidR="009C28E6" w:rsidRPr="000F1893" w:rsidRDefault="009C28E6" w:rsidP="009C28E6">
            <w:pPr>
              <w:pStyle w:val="TAL"/>
              <w:numPr>
                <w:ilvl w:val="0"/>
                <w:numId w:val="45"/>
              </w:numPr>
              <w:overflowPunct/>
              <w:autoSpaceDE/>
              <w:autoSpaceDN/>
              <w:adjustRightInd/>
              <w:textAlignment w:val="auto"/>
              <w:rPr>
                <w:rFonts w:eastAsia="Malgun Gothic"/>
                <w:color w:val="000000" w:themeColor="text1"/>
                <w:lang w:eastAsia="ko-KR"/>
              </w:rPr>
            </w:pPr>
            <w:r w:rsidRPr="000F1893">
              <w:rPr>
                <w:rFonts w:eastAsia="Malgun Gothic"/>
                <w:color w:val="000000" w:themeColor="text1"/>
                <w:lang w:eastAsia="ko-KR"/>
              </w:rPr>
              <w:t xml:space="preserve">6 parameter combinations (combos with L=6 don’t apply) </w:t>
            </w:r>
          </w:p>
          <w:p w14:paraId="0B370375" w14:textId="77777777" w:rsidR="009C28E6" w:rsidRPr="000F1893" w:rsidRDefault="009C28E6" w:rsidP="009C28E6">
            <w:pPr>
              <w:pStyle w:val="TAL"/>
              <w:numPr>
                <w:ilvl w:val="0"/>
                <w:numId w:val="45"/>
              </w:numPr>
              <w:overflowPunct/>
              <w:autoSpaceDE/>
              <w:autoSpaceDN/>
              <w:adjustRightInd/>
              <w:textAlignment w:val="auto"/>
              <w:rPr>
                <w:rFonts w:eastAsia="Malgun Gothic"/>
                <w:color w:val="000000" w:themeColor="text1"/>
                <w:lang w:eastAsia="ko-KR"/>
              </w:rPr>
            </w:pPr>
            <w:r w:rsidRPr="000F1893">
              <w:rPr>
                <w:rFonts w:eastAsia="Malgun Gothic"/>
                <w:color w:val="000000" w:themeColor="text1"/>
                <w:lang w:eastAsia="ko-KR"/>
              </w:rPr>
              <w:t>Support of rank 1,2</w:t>
            </w:r>
          </w:p>
        </w:tc>
      </w:tr>
      <w:tr w:rsidR="009C28E6" w:rsidRPr="000F1893" w14:paraId="78FF5861" w14:textId="77777777" w:rsidTr="009C2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3465D" w14:textId="77777777" w:rsidR="009C28E6" w:rsidRPr="000F1893" w:rsidRDefault="009C28E6" w:rsidP="00A83C4E">
            <w:pPr>
              <w:pStyle w:val="TAL"/>
              <w:rPr>
                <w:rFonts w:eastAsia="Malgun Gothic"/>
                <w:color w:val="000000" w:themeColor="text1"/>
                <w:lang w:eastAsia="ko-KR"/>
              </w:rPr>
            </w:pPr>
            <w:r w:rsidRPr="000F1893">
              <w:rPr>
                <w:rFonts w:eastAsia="Malgun Gothic"/>
                <w:color w:val="000000" w:themeColor="text1"/>
                <w:lang w:eastAsia="ko-KR"/>
              </w:rPr>
              <w:t>16-3b-1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F2950" w14:textId="77777777" w:rsidR="009C28E6" w:rsidRPr="000F1893" w:rsidRDefault="009C28E6" w:rsidP="00A83C4E">
            <w:pPr>
              <w:pStyle w:val="TAL"/>
              <w:rPr>
                <w:color w:val="000000" w:themeColor="text1"/>
              </w:rPr>
            </w:pPr>
            <w:r w:rsidRPr="000F1893">
              <w:rPr>
                <w:color w:val="000000" w:themeColor="text1"/>
              </w:rPr>
              <w:t>Support of PMI sub-bands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BF80" w14:textId="77777777" w:rsidR="009C28E6" w:rsidRPr="000F1893" w:rsidRDefault="009C28E6" w:rsidP="00A83C4E">
            <w:pPr>
              <w:pStyle w:val="TAL"/>
              <w:rPr>
                <w:rFonts w:eastAsia="Malgun Gothic"/>
                <w:color w:val="000000" w:themeColor="text1"/>
                <w:lang w:eastAsia="ko-KR"/>
              </w:rPr>
            </w:pPr>
            <w:r w:rsidRPr="000F1893">
              <w:rPr>
                <w:rFonts w:eastAsia="Malgun Gothic"/>
                <w:color w:val="000000" w:themeColor="text1"/>
                <w:lang w:eastAsia="ko-KR"/>
              </w:rPr>
              <w:t>{Max # of Tx ports in one resource, Max # of resources and total # of Tx ports} to support port selection eType-II for R=2</w:t>
            </w:r>
          </w:p>
        </w:tc>
      </w:tr>
      <w:tr w:rsidR="009C28E6" w:rsidRPr="000F1893" w14:paraId="4CBF6321" w14:textId="77777777" w:rsidTr="009C2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EE7AFE" w14:textId="77777777" w:rsidR="009C28E6" w:rsidRPr="000F1893" w:rsidRDefault="009C28E6" w:rsidP="00A83C4E">
            <w:pPr>
              <w:pStyle w:val="TAL"/>
              <w:rPr>
                <w:rFonts w:eastAsia="Malgun Gothic"/>
                <w:color w:val="000000" w:themeColor="text1"/>
                <w:lang w:eastAsia="ko-KR"/>
              </w:rPr>
            </w:pPr>
            <w:r w:rsidRPr="000F1893">
              <w:rPr>
                <w:rFonts w:eastAsia="Malgun Gothic"/>
                <w:color w:val="000000" w:themeColor="text1"/>
                <w:lang w:eastAsia="ko-KR"/>
              </w:rPr>
              <w:t>16-3b-2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68EC" w14:textId="77777777" w:rsidR="009C28E6" w:rsidRPr="000F1893" w:rsidRDefault="009C28E6" w:rsidP="00A83C4E">
            <w:pPr>
              <w:pStyle w:val="TAL"/>
              <w:rPr>
                <w:color w:val="000000" w:themeColor="text1"/>
              </w:rPr>
            </w:pPr>
            <w:r w:rsidRPr="000F1893">
              <w:rPr>
                <w:rFonts w:eastAsia="Malgun Gothic"/>
                <w:color w:val="000000" w:themeColor="text1"/>
                <w:lang w:eastAsia="ko-KR"/>
              </w:rPr>
              <w:t>Support of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2E8F3" w14:textId="77777777" w:rsidR="009C28E6" w:rsidRPr="000F1893" w:rsidRDefault="009C28E6" w:rsidP="00A83C4E">
            <w:pPr>
              <w:pStyle w:val="TAL"/>
              <w:rPr>
                <w:rFonts w:eastAsia="Malgun Gothic"/>
                <w:color w:val="000000" w:themeColor="text1"/>
                <w:lang w:eastAsia="ko-KR"/>
              </w:rPr>
            </w:pPr>
            <w:r w:rsidRPr="000F1893">
              <w:rPr>
                <w:rFonts w:eastAsia="Malgun Gothic"/>
                <w:color w:val="000000" w:themeColor="text1"/>
                <w:lang w:eastAsia="ko-KR"/>
              </w:rPr>
              <w:t>Support of rank 3,4</w:t>
            </w:r>
          </w:p>
        </w:tc>
      </w:tr>
      <w:tr w:rsidR="00770946" w:rsidRPr="000F1893" w14:paraId="7C87D1DF" w14:textId="77777777" w:rsidTr="009C2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09CF5" w14:textId="5379B0EE" w:rsidR="00770946" w:rsidRPr="000F1893" w:rsidRDefault="00770946" w:rsidP="00770946">
            <w:pPr>
              <w:pStyle w:val="TAL"/>
              <w:rPr>
                <w:rFonts w:eastAsia="Malgun Gothic"/>
                <w:color w:val="000000" w:themeColor="text1"/>
                <w:lang w:eastAsia="ko-KR"/>
              </w:rPr>
            </w:pPr>
            <w:r w:rsidRPr="000F1893">
              <w:rPr>
                <w:rFonts w:eastAsia="Malgun Gothic"/>
                <w:color w:val="000000" w:themeColor="text1"/>
                <w:lang w:eastAsia="ko-KR"/>
              </w:rPr>
              <w:t>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24562" w14:textId="7E856ADB" w:rsidR="00770946" w:rsidRPr="000F1893" w:rsidRDefault="00770946" w:rsidP="00770946">
            <w:pPr>
              <w:pStyle w:val="TAL"/>
              <w:rPr>
                <w:rFonts w:eastAsia="Malgun Gothic"/>
                <w:color w:val="000000" w:themeColor="text1"/>
                <w:lang w:eastAsia="ko-KR"/>
              </w:rPr>
            </w:pPr>
            <w:r w:rsidRPr="000F1893">
              <w:rPr>
                <w:rFonts w:eastAsia="Malgun Gothic"/>
                <w:color w:val="000000" w:themeColor="text1"/>
                <w:lang w:eastAsia="ko-KR"/>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AD78" w14:textId="5F614FF0" w:rsidR="00770946" w:rsidRPr="000F1893" w:rsidRDefault="00770946" w:rsidP="00770946">
            <w:pPr>
              <w:pStyle w:val="TAL"/>
              <w:rPr>
                <w:rFonts w:eastAsia="Malgun Gothic"/>
                <w:color w:val="000000" w:themeColor="text1"/>
                <w:lang w:eastAsia="ko-KR"/>
              </w:rPr>
            </w:pPr>
            <w:r w:rsidRPr="00AE0C7D">
              <w:rPr>
                <w:rFonts w:eastAsia="Malgun Gothic"/>
                <w:color w:val="000000" w:themeColor="text1"/>
                <w:highlight w:val="yellow"/>
                <w:lang w:eastAsia="ko-KR"/>
              </w:rPr>
              <w:t>FFS: the detailed component design</w:t>
            </w:r>
          </w:p>
        </w:tc>
      </w:tr>
    </w:tbl>
    <w:p w14:paraId="1EE5773D" w14:textId="77777777" w:rsidR="009C28E6" w:rsidRDefault="009C28E6" w:rsidP="004E03F1">
      <w:pPr>
        <w:spacing w:after="0"/>
        <w:rPr>
          <w:sz w:val="20"/>
          <w:lang w:val="en-US"/>
        </w:rPr>
      </w:pPr>
    </w:p>
    <w:p w14:paraId="7366C043" w14:textId="7161D6A5" w:rsidR="00F22C6C" w:rsidRDefault="00A67C66" w:rsidP="004E03F1">
      <w:pPr>
        <w:spacing w:after="0"/>
        <w:rPr>
          <w:sz w:val="20"/>
          <w:lang w:eastAsia="ko-KR"/>
        </w:rPr>
      </w:pPr>
      <w:r w:rsidRPr="00D939FF">
        <w:rPr>
          <w:sz w:val="20"/>
          <w:lang w:val="en-US"/>
        </w:rPr>
        <w:t xml:space="preserve">In this section, </w:t>
      </w:r>
      <w:r w:rsidR="004E03F1">
        <w:rPr>
          <w:sz w:val="20"/>
          <w:lang w:val="en-US"/>
        </w:rPr>
        <w:t>two</w:t>
      </w:r>
      <w:r w:rsidRPr="00D939FF">
        <w:rPr>
          <w:sz w:val="20"/>
          <w:lang w:val="en-US"/>
        </w:rPr>
        <w:t xml:space="preserve"> </w:t>
      </w:r>
      <w:r w:rsidR="004E03F1">
        <w:rPr>
          <w:sz w:val="20"/>
          <w:lang w:val="en-US"/>
        </w:rPr>
        <w:t xml:space="preserve">remaining FFS </w:t>
      </w:r>
      <w:r w:rsidR="00E655D3" w:rsidRPr="00D939FF">
        <w:rPr>
          <w:sz w:val="20"/>
          <w:lang w:val="en-US"/>
        </w:rPr>
        <w:t>items are discussed</w:t>
      </w:r>
      <w:r w:rsidR="00AA7461" w:rsidRPr="00D939FF">
        <w:rPr>
          <w:sz w:val="20"/>
          <w:lang w:eastAsia="ko-KR"/>
        </w:rPr>
        <w:t>.</w:t>
      </w:r>
    </w:p>
    <w:p w14:paraId="51747166" w14:textId="77777777" w:rsidR="004E03F1" w:rsidRPr="00D939FF" w:rsidRDefault="004E03F1" w:rsidP="004E03F1">
      <w:pPr>
        <w:spacing w:after="0"/>
        <w:rPr>
          <w:sz w:val="20"/>
          <w:lang w:eastAsia="ko-KR"/>
        </w:rPr>
      </w:pPr>
    </w:p>
    <w:p w14:paraId="0C0A187C" w14:textId="78DD7F0D" w:rsidR="003775B3" w:rsidRDefault="004E03F1" w:rsidP="00A151BA">
      <w:pPr>
        <w:spacing w:after="0"/>
        <w:rPr>
          <w:sz w:val="20"/>
        </w:rPr>
      </w:pPr>
      <w:r w:rsidRPr="00D939FF">
        <w:rPr>
          <w:sz w:val="20"/>
        </w:rPr>
        <w:t xml:space="preserve">The </w:t>
      </w:r>
      <w:r>
        <w:rPr>
          <w:sz w:val="20"/>
          <w:u w:val="single"/>
        </w:rPr>
        <w:t>first</w:t>
      </w:r>
      <w:r w:rsidRPr="00D939FF">
        <w:rPr>
          <w:sz w:val="20"/>
          <w:u w:val="single"/>
        </w:rPr>
        <w:t xml:space="preserve"> item</w:t>
      </w:r>
      <w:r w:rsidRPr="00D939FF">
        <w:rPr>
          <w:sz w:val="20"/>
        </w:rPr>
        <w:t xml:space="preserve"> is regarding codebook subset restriction (CBSR) for </w:t>
      </w:r>
      <w:r w:rsidR="00A151BA">
        <w:rPr>
          <w:sz w:val="20"/>
        </w:rPr>
        <w:t xml:space="preserve">regular </w:t>
      </w:r>
      <w:r w:rsidRPr="00D939FF">
        <w:rPr>
          <w:sz w:val="20"/>
        </w:rPr>
        <w:t xml:space="preserve">eTypeII codebook. </w:t>
      </w:r>
      <w:r w:rsidR="00A151BA">
        <w:rPr>
          <w:sz w:val="20"/>
        </w:rPr>
        <w:t>The</w:t>
      </w:r>
      <w:r w:rsidR="003775B3">
        <w:rPr>
          <w:sz w:val="20"/>
        </w:rPr>
        <w:t xml:space="preserve"> following</w:t>
      </w:r>
      <w:r w:rsidR="00A151BA">
        <w:rPr>
          <w:sz w:val="20"/>
        </w:rPr>
        <w:t xml:space="preserve"> agreement</w:t>
      </w:r>
      <w:r w:rsidR="003775B3">
        <w:rPr>
          <w:sz w:val="20"/>
        </w:rPr>
        <w:t xml:space="preserve"> was made in RAN#98b.</w:t>
      </w:r>
    </w:p>
    <w:p w14:paraId="678CD08A" w14:textId="16AD7ED3" w:rsidR="003775B3" w:rsidRDefault="003775B3" w:rsidP="00A151BA">
      <w:pPr>
        <w:spacing w:after="0"/>
        <w:rPr>
          <w:sz w:val="20"/>
        </w:rPr>
      </w:pPr>
    </w:p>
    <w:tbl>
      <w:tblPr>
        <w:tblStyle w:val="TableGrid"/>
        <w:tblW w:w="0" w:type="auto"/>
        <w:tblLook w:val="04A0" w:firstRow="1" w:lastRow="0" w:firstColumn="1" w:lastColumn="0" w:noHBand="0" w:noVBand="1"/>
      </w:tblPr>
      <w:tblGrid>
        <w:gridCol w:w="9629"/>
      </w:tblGrid>
      <w:tr w:rsidR="003775B3" w:rsidRPr="003775B3" w14:paraId="54384677" w14:textId="77777777" w:rsidTr="003775B3">
        <w:tc>
          <w:tcPr>
            <w:tcW w:w="9629" w:type="dxa"/>
          </w:tcPr>
          <w:p w14:paraId="33631E1E" w14:textId="77777777" w:rsidR="003775B3" w:rsidRPr="003775B3" w:rsidRDefault="003775B3" w:rsidP="003775B3">
            <w:pPr>
              <w:rPr>
                <w:b/>
                <w:sz w:val="20"/>
              </w:rPr>
            </w:pPr>
            <w:r w:rsidRPr="003775B3">
              <w:rPr>
                <w:b/>
                <w:sz w:val="20"/>
                <w:highlight w:val="green"/>
              </w:rPr>
              <w:t>Agreement</w:t>
            </w:r>
          </w:p>
          <w:p w14:paraId="7C8744F4" w14:textId="77777777" w:rsidR="003775B3" w:rsidRPr="003775B3" w:rsidRDefault="003775B3" w:rsidP="003775B3">
            <w:pPr>
              <w:rPr>
                <w:sz w:val="20"/>
              </w:rPr>
            </w:pPr>
            <w:r w:rsidRPr="003775B3">
              <w:rPr>
                <w:sz w:val="20"/>
              </w:rPr>
              <w:t>For amplitude restriction mechanism:</w:t>
            </w:r>
          </w:p>
          <w:p w14:paraId="6C6D3F98" w14:textId="77777777" w:rsidR="003775B3" w:rsidRPr="003775B3" w:rsidRDefault="003775B3" w:rsidP="003775B3">
            <w:pPr>
              <w:pStyle w:val="ListParagraph"/>
              <w:numPr>
                <w:ilvl w:val="0"/>
                <w:numId w:val="47"/>
              </w:numPr>
              <w:spacing w:after="0"/>
              <w:ind w:leftChars="0"/>
              <w:rPr>
                <w:sz w:val="20"/>
              </w:rPr>
            </w:pPr>
            <w:r w:rsidRPr="003775B3">
              <w:rPr>
                <w:sz w:val="20"/>
              </w:rPr>
              <w:t xml:space="preserve">Alt 0. </w:t>
            </w:r>
            <w:r w:rsidRPr="003775B3">
              <w:rPr>
                <w:sz w:val="20"/>
                <w:lang w:val="en-US" w:eastAsia="ko-KR"/>
              </w:rPr>
              <w:t xml:space="preserve">Analogous to Rel.15 Type II </w:t>
            </w:r>
            <w:r w:rsidRPr="003775B3">
              <w:rPr>
                <w:rFonts w:eastAsia="SimSun"/>
                <w:sz w:val="20"/>
                <w:lang w:val="en-US" w:eastAsia="zh-CN"/>
              </w:rPr>
              <w:t>(SD beam group restriction + per coefficient hard amplitude restriction)</w:t>
            </w:r>
          </w:p>
          <w:p w14:paraId="362DAD45" w14:textId="77777777" w:rsidR="003775B3" w:rsidRPr="003775B3" w:rsidRDefault="003775B3" w:rsidP="003775B3">
            <w:pPr>
              <w:pStyle w:val="ListParagraph"/>
              <w:numPr>
                <w:ilvl w:val="1"/>
                <w:numId w:val="47"/>
              </w:numPr>
              <w:spacing w:after="0"/>
              <w:ind w:leftChars="0"/>
              <w:rPr>
                <w:sz w:val="20"/>
              </w:rPr>
            </w:pPr>
            <w:r w:rsidRPr="003775B3">
              <w:rPr>
                <w:sz w:val="20"/>
              </w:rPr>
              <w:t xml:space="preserve">Four beam groups are selected via higher-layer configured bitmap </w:t>
            </w:r>
            <w:r w:rsidRPr="003775B3">
              <w:rPr>
                <w:i/>
                <w:sz w:val="20"/>
              </w:rPr>
              <w:t>B</w:t>
            </w:r>
            <w:r w:rsidRPr="003775B3">
              <w:rPr>
                <w:sz w:val="20"/>
                <w:vertAlign w:val="subscript"/>
              </w:rPr>
              <w:t>1</w:t>
            </w:r>
          </w:p>
          <w:p w14:paraId="115CFE12" w14:textId="77777777" w:rsidR="003775B3" w:rsidRPr="003775B3" w:rsidRDefault="003775B3" w:rsidP="003775B3">
            <w:pPr>
              <w:pStyle w:val="ListParagraph"/>
              <w:numPr>
                <w:ilvl w:val="1"/>
                <w:numId w:val="47"/>
              </w:numPr>
              <w:spacing w:after="0"/>
              <w:ind w:leftChars="0"/>
              <w:rPr>
                <w:sz w:val="20"/>
              </w:rPr>
            </w:pPr>
            <w:r w:rsidRPr="003775B3">
              <w:rPr>
                <w:rFonts w:eastAsia="SimSun"/>
                <w:sz w:val="20"/>
                <w:lang w:val="en-US" w:eastAsia="zh-CN"/>
              </w:rPr>
              <w:lastRenderedPageBreak/>
              <w:t xml:space="preserve">For each spatial beam in each of the four beam groups, </w:t>
            </w:r>
            <w:r w:rsidRPr="003775B3">
              <w:rPr>
                <w:rFonts w:eastAsia="SimSun"/>
                <w:i/>
                <w:sz w:val="20"/>
                <w:lang w:val="en-US" w:eastAsia="zh-CN"/>
              </w:rPr>
              <w:t>hard restriction (maximum amplitude of 0 or 1)</w:t>
            </w:r>
            <w:r w:rsidRPr="003775B3">
              <w:rPr>
                <w:rFonts w:eastAsia="SimSun"/>
                <w:sz w:val="20"/>
                <w:lang w:val="en-US" w:eastAsia="zh-CN"/>
              </w:rPr>
              <w:t xml:space="preserve"> </w:t>
            </w:r>
            <w:r w:rsidRPr="003775B3">
              <w:rPr>
                <w:sz w:val="20"/>
                <w:lang w:val="en-US" w:eastAsia="ko-KR"/>
              </w:rPr>
              <w:t xml:space="preserve">is applied to any of the </w:t>
            </w:r>
            <w:r w:rsidRPr="003775B3">
              <w:rPr>
                <w:position w:val="-12"/>
                <w:sz w:val="20"/>
                <w:lang w:val="en-US"/>
              </w:rPr>
              <w:object w:dxaOrig="380" w:dyaOrig="380" w14:anchorId="0DF41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 o:ole="">
                  <v:imagedata r:id="rId8" o:title=""/>
                </v:shape>
                <o:OLEObject Type="Embed" ProgID="Equation.DSMT4" ShapeID="_x0000_i1025" DrawAspect="Content" ObjectID="_1651070353" r:id="rId9"/>
              </w:object>
            </w:r>
            <w:r w:rsidRPr="003775B3">
              <w:rPr>
                <w:sz w:val="20"/>
                <w:lang w:val="en-US" w:eastAsia="ko-KR"/>
              </w:rPr>
              <w:t xml:space="preserve">coefficients associated with the beam (the restriction is applied for both polarizations of the beam). This maximum amplitude restriction is higher-layer configured with four bitmaps </w:t>
            </w:r>
            <w:r w:rsidRPr="003775B3">
              <w:rPr>
                <w:position w:val="-16"/>
                <w:sz w:val="20"/>
                <w:lang w:val="en-US"/>
              </w:rPr>
              <w:object w:dxaOrig="1980" w:dyaOrig="440" w14:anchorId="6942AAC0">
                <v:shape id="_x0000_i1026" type="#_x0000_t75" style="width:82.6pt;height:16.15pt" o:ole="">
                  <v:imagedata r:id="rId10" o:title=""/>
                </v:shape>
                <o:OLEObject Type="Embed" ProgID="Equation.DSMT4" ShapeID="_x0000_i1026" DrawAspect="Content" ObjectID="_1651070354" r:id="rId11"/>
              </w:object>
            </w:r>
            <w:r w:rsidRPr="003775B3">
              <w:rPr>
                <w:sz w:val="20"/>
                <w:lang w:val="en-US" w:eastAsia="ko-KR"/>
              </w:rPr>
              <w:t xml:space="preserve"> </w:t>
            </w:r>
          </w:p>
          <w:p w14:paraId="378BAF63" w14:textId="45A6BE4D" w:rsidR="003775B3" w:rsidRPr="003775B3" w:rsidRDefault="003775B3" w:rsidP="003775B3">
            <w:pPr>
              <w:pStyle w:val="ListParagraph"/>
              <w:numPr>
                <w:ilvl w:val="0"/>
                <w:numId w:val="46"/>
              </w:numPr>
              <w:spacing w:after="0"/>
              <w:ind w:leftChars="0"/>
              <w:rPr>
                <w:sz w:val="20"/>
              </w:rPr>
            </w:pPr>
            <w:r w:rsidRPr="003775B3">
              <w:rPr>
                <w:sz w:val="20"/>
              </w:rPr>
              <w:t xml:space="preserve">Alt 3A from RAN1#98 (soft with sum-power-ratio constraint), simplified to </w:t>
            </w:r>
            <w:r w:rsidRPr="003775B3">
              <w:rPr>
                <w:position w:val="-32"/>
                <w:sz w:val="20"/>
              </w:rPr>
              <w:object w:dxaOrig="3879" w:dyaOrig="700" w14:anchorId="3D9D85EE">
                <v:shape id="_x0000_i1027" type="#_x0000_t75" style="width:193.85pt;height:34.6pt" o:ole="">
                  <v:imagedata r:id="rId12" o:title=""/>
                </v:shape>
                <o:OLEObject Type="Embed" ProgID="Equation.DSMT4" ShapeID="_x0000_i1027" DrawAspect="Content" ObjectID="_1651070355" r:id="rId13"/>
              </w:object>
            </w:r>
            <w:r w:rsidRPr="003775B3">
              <w:rPr>
                <w:sz w:val="20"/>
              </w:rPr>
              <w:fldChar w:fldCharType="begin"/>
            </w:r>
            <w:r w:rsidRPr="003775B3">
              <w:rPr>
                <w:sz w:val="20"/>
              </w:rPr>
              <w:instrText xml:space="preserve"> QUOTE </w:instrText>
            </w:r>
            <m:oMath>
              <m:f>
                <m:fPr>
                  <m:ctrlPr>
                    <w:rPr>
                      <w:rFonts w:ascii="Cambria Math" w:hAnsi="Cambria Math"/>
                      <w:i/>
                      <w:sz w:val="20"/>
                    </w:rPr>
                  </m:ctrlPr>
                </m:fPr>
                <m:num>
                  <m:r>
                    <m:rPr>
                      <m:sty m:val="p"/>
                    </m:rPr>
                    <w:rPr>
                      <w:rFonts w:ascii="Cambria Math" w:hAnsi="Cambria Math"/>
                      <w:sz w:val="20"/>
                    </w:rPr>
                    <m:t>1</m:t>
                  </m:r>
                </m:num>
                <m:den>
                  <m:sSub>
                    <m:sSubPr>
                      <m:ctrlPr>
                        <w:rPr>
                          <w:rFonts w:ascii="Cambria Math" w:hAnsi="Cambria Math"/>
                          <w:i/>
                          <w:sz w:val="20"/>
                        </w:rPr>
                      </m:ctrlPr>
                    </m:sSubPr>
                    <m:e>
                      <m:r>
                        <m:rPr>
                          <m:sty m:val="p"/>
                        </m:rPr>
                        <w:rPr>
                          <w:rFonts w:ascii="Cambria Math" w:hAnsi="Cambria Math"/>
                          <w:sz w:val="20"/>
                        </w:rPr>
                        <m:t>K</m:t>
                      </m:r>
                    </m:e>
                    <m:sub>
                      <m:r>
                        <m:rPr>
                          <m:sty m:val="p"/>
                        </m:rPr>
                        <w:rPr>
                          <w:rFonts w:ascii="Cambria Math" w:hAnsi="Cambria Math"/>
                          <w:sz w:val="20"/>
                        </w:rPr>
                        <m:t>NZ</m:t>
                      </m:r>
                    </m:sub>
                  </m:sSub>
                  <m:r>
                    <m:rPr>
                      <m:sty m:val="p"/>
                    </m:rPr>
                    <w:rPr>
                      <w:rFonts w:ascii="Cambria Math" w:hAnsi="Cambria Math"/>
                      <w:sz w:val="20"/>
                    </w:rPr>
                    <m:t>(λ,k,</m:t>
                  </m:r>
                  <m:sSub>
                    <m:sSubPr>
                      <m:ctrlPr>
                        <w:rPr>
                          <w:rFonts w:ascii="Cambria Math" w:hAnsi="Cambria Math"/>
                          <w:sz w:val="20"/>
                        </w:rPr>
                      </m:ctrlPr>
                    </m:sSubPr>
                    <m:e>
                      <m:r>
                        <m:rPr>
                          <m:sty m:val="p"/>
                        </m:rPr>
                        <w:rPr>
                          <w:rFonts w:ascii="Cambria Math" w:hAnsi="Cambria Math"/>
                          <w:sz w:val="20"/>
                        </w:rPr>
                        <m:t>l</m:t>
                      </m:r>
                    </m:e>
                    <m:sub>
                      <m:r>
                        <m:rPr>
                          <m:sty m:val="p"/>
                        </m:rPr>
                        <w:rPr>
                          <w:rFonts w:ascii="Cambria Math" w:hAnsi="Cambria Math"/>
                          <w:sz w:val="20"/>
                        </w:rPr>
                        <m:t>0</m:t>
                      </m:r>
                    </m:sub>
                  </m:sSub>
                  <m:r>
                    <m:rPr>
                      <m:sty m:val="p"/>
                    </m:rPr>
                    <w:rPr>
                      <w:rFonts w:ascii="Cambria Math" w:hAnsi="Cambria Math"/>
                      <w:sz w:val="20"/>
                    </w:rPr>
                    <m:t>)</m:t>
                  </m:r>
                </m:den>
              </m:f>
              <m:r>
                <m:rPr>
                  <m:sty m:val="p"/>
                </m:rPr>
                <w:rPr>
                  <w:rFonts w:ascii="Cambria Math" w:hAnsi="Cambria Math"/>
                  <w:sz w:val="20"/>
                </w:rPr>
                <m:t>×</m:t>
              </m:r>
              <m:nary>
                <m:naryPr>
                  <m:chr m:val="∑"/>
                  <m:limLoc m:val="undOvr"/>
                  <m:ctrlPr>
                    <w:rPr>
                      <w:rFonts w:ascii="Cambria Math" w:hAnsi="Cambria Math"/>
                      <w:sz w:val="20"/>
                    </w:rPr>
                  </m:ctrlPr>
                </m:naryPr>
                <m:sub>
                  <m:r>
                    <m:rPr>
                      <m:sty m:val="p"/>
                    </m:rPr>
                    <w:rPr>
                      <w:rFonts w:ascii="Cambria Math" w:hAnsi="Cambria Math"/>
                      <w:sz w:val="20"/>
                    </w:rPr>
                    <m:t>m=0</m:t>
                  </m:r>
                </m:sub>
                <m:sup>
                  <m:r>
                    <m:rPr>
                      <m:sty m:val="p"/>
                    </m:rPr>
                    <w:rPr>
                      <w:rFonts w:ascii="Cambria Math" w:hAnsi="Cambria Math"/>
                      <w:sz w:val="20"/>
                    </w:rPr>
                    <m:t>M-1</m:t>
                  </m:r>
                </m:sup>
                <m:e>
                  <m:sSubSup>
                    <m:sSubSupPr>
                      <m:ctrlPr>
                        <w:rPr>
                          <w:rFonts w:ascii="Cambria Math" w:hAnsi="Cambria Math"/>
                          <w:sz w:val="20"/>
                        </w:rPr>
                      </m:ctrlPr>
                    </m:sSubSupPr>
                    <m:e>
                      <m:r>
                        <m:rPr>
                          <m:sty m:val="p"/>
                        </m:rPr>
                        <w:rPr>
                          <w:rFonts w:ascii="Cambria Math" w:hAnsi="Cambria Math"/>
                          <w:sz w:val="20"/>
                        </w:rPr>
                        <m:t>p</m:t>
                      </m:r>
                    </m:e>
                    <m:sub>
                      <m:r>
                        <m:rPr>
                          <m:sty m:val="p"/>
                        </m:rPr>
                        <w:rPr>
                          <w:rFonts w:ascii="Cambria Math" w:hAnsi="Cambria Math"/>
                          <w:sz w:val="20"/>
                        </w:rPr>
                        <m:t>res,</m:t>
                      </m:r>
                      <m:sSub>
                        <m:sSubPr>
                          <m:ctrlPr>
                            <w:rPr>
                              <w:rFonts w:ascii="Cambria Math" w:hAnsi="Cambria Math"/>
                              <w:sz w:val="20"/>
                            </w:rPr>
                          </m:ctrlPr>
                        </m:sSubPr>
                        <m:e>
                          <m:r>
                            <m:rPr>
                              <m:sty m:val="p"/>
                            </m:rPr>
                            <w:rPr>
                              <w:rFonts w:ascii="Cambria Math" w:hAnsi="Cambria Math"/>
                              <w:sz w:val="20"/>
                            </w:rPr>
                            <m:t>l</m:t>
                          </m:r>
                        </m:e>
                        <m:sub>
                          <m:r>
                            <m:rPr>
                              <m:sty m:val="p"/>
                            </m:rPr>
                            <w:rPr>
                              <w:rFonts w:ascii="Cambria Math" w:hAnsi="Cambria Math"/>
                              <w:sz w:val="20"/>
                            </w:rPr>
                            <m:t>0</m:t>
                          </m:r>
                        </m:sub>
                      </m:sSub>
                    </m:sub>
                    <m:sup>
                      <m:r>
                        <m:rPr>
                          <m:sty m:val="p"/>
                        </m:rPr>
                        <w:rPr>
                          <w:rFonts w:ascii="Cambria Math" w:hAnsi="Cambria Math"/>
                          <w:sz w:val="20"/>
                        </w:rPr>
                        <m:t>2</m:t>
                      </m:r>
                    </m:sup>
                  </m:sSubSup>
                  <m:d>
                    <m:dPr>
                      <m:ctrlPr>
                        <w:rPr>
                          <w:rFonts w:ascii="Cambria Math" w:hAnsi="Cambria Math"/>
                          <w:sz w:val="20"/>
                        </w:rPr>
                      </m:ctrlPr>
                    </m:dPr>
                    <m:e>
                      <m:r>
                        <m:rPr>
                          <m:sty m:val="p"/>
                        </m:rPr>
                        <w:rPr>
                          <w:rFonts w:ascii="Cambria Math" w:hAnsi="Cambria Math"/>
                          <w:sz w:val="20"/>
                        </w:rPr>
                        <m:t>λ,m,k</m:t>
                      </m:r>
                    </m:e>
                  </m:d>
                </m:e>
              </m:nary>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γ</m:t>
                  </m:r>
                </m:e>
                <m:sub>
                  <m:sSub>
                    <m:sSubPr>
                      <m:ctrlPr>
                        <w:rPr>
                          <w:rFonts w:ascii="Cambria Math" w:hAnsi="Cambria Math"/>
                          <w:sz w:val="20"/>
                        </w:rPr>
                      </m:ctrlPr>
                    </m:sSubPr>
                    <m:e>
                      <m:r>
                        <m:rPr>
                          <m:sty m:val="p"/>
                        </m:rPr>
                        <w:rPr>
                          <w:rFonts w:ascii="Cambria Math" w:hAnsi="Cambria Math"/>
                          <w:sz w:val="20"/>
                        </w:rPr>
                        <m:t>l</m:t>
                      </m:r>
                    </m:e>
                    <m:sub>
                      <m:r>
                        <m:rPr>
                          <m:sty m:val="p"/>
                        </m:rPr>
                        <w:rPr>
                          <w:rFonts w:ascii="Cambria Math" w:hAnsi="Cambria Math"/>
                          <w:sz w:val="20"/>
                        </w:rPr>
                        <m:t>0</m:t>
                      </m:r>
                    </m:sub>
                  </m:sSub>
                </m:sub>
              </m:sSub>
            </m:oMath>
            <w:r w:rsidRPr="003775B3">
              <w:rPr>
                <w:sz w:val="20"/>
              </w:rPr>
              <w:instrText xml:space="preserve"> </w:instrText>
            </w:r>
            <w:r w:rsidRPr="003775B3">
              <w:rPr>
                <w:sz w:val="20"/>
              </w:rPr>
              <w:fldChar w:fldCharType="end"/>
            </w:r>
            <w:r w:rsidRPr="003775B3">
              <w:rPr>
                <w:sz w:val="20"/>
              </w:rPr>
              <w:t xml:space="preserve"> for each </w:t>
            </w:r>
            <w:r w:rsidRPr="003775B3">
              <w:rPr>
                <w:position w:val="-14"/>
                <w:sz w:val="20"/>
              </w:rPr>
              <w:object w:dxaOrig="859" w:dyaOrig="400" w14:anchorId="15824468">
                <v:shape id="_x0000_i1028" type="#_x0000_t75" style="width:43.4pt;height:19.85pt" o:ole="">
                  <v:imagedata r:id="rId14" o:title=""/>
                </v:shape>
                <o:OLEObject Type="Embed" ProgID="Equation.DSMT4" ShapeID="_x0000_i1028" DrawAspect="Content" ObjectID="_1651070356" r:id="rId15"/>
              </w:object>
            </w:r>
            <w:r w:rsidRPr="003775B3">
              <w:rPr>
                <w:sz w:val="20"/>
              </w:rPr>
              <w:fldChar w:fldCharType="begin"/>
            </w:r>
            <w:r w:rsidRPr="003775B3">
              <w:rPr>
                <w:sz w:val="20"/>
              </w:rPr>
              <w:instrText xml:space="preserve"> QUOTE </w:instrText>
            </w:r>
            <m:oMath>
              <m:r>
                <m:rPr>
                  <m:sty m:val="p"/>
                </m:rPr>
                <w:rPr>
                  <w:rFonts w:ascii="Cambria Math" w:hAnsi="Cambria Math"/>
                  <w:sz w:val="20"/>
                </w:rPr>
                <m:t>(λ,k,</m:t>
              </m:r>
              <m:sSub>
                <m:sSubPr>
                  <m:ctrlPr>
                    <w:rPr>
                      <w:rFonts w:ascii="Cambria Math" w:hAnsi="Cambria Math"/>
                      <w:sz w:val="20"/>
                    </w:rPr>
                  </m:ctrlPr>
                </m:sSubPr>
                <m:e>
                  <m:r>
                    <m:rPr>
                      <m:sty m:val="p"/>
                    </m:rPr>
                    <w:rPr>
                      <w:rFonts w:ascii="Cambria Math" w:hAnsi="Cambria Math"/>
                      <w:sz w:val="20"/>
                    </w:rPr>
                    <m:t>l</m:t>
                  </m:r>
                </m:e>
                <m:sub>
                  <m:r>
                    <m:rPr>
                      <m:sty m:val="p"/>
                    </m:rPr>
                    <w:rPr>
                      <w:rFonts w:ascii="Cambria Math" w:hAnsi="Cambria Math"/>
                      <w:sz w:val="20"/>
                    </w:rPr>
                    <m:t>0</m:t>
                  </m:r>
                </m:sub>
              </m:sSub>
              <m:r>
                <m:rPr>
                  <m:sty m:val="p"/>
                </m:rPr>
                <w:rPr>
                  <w:rFonts w:ascii="Cambria Math" w:hAnsi="Cambria Math"/>
                  <w:sz w:val="20"/>
                </w:rPr>
                <m:t>)</m:t>
              </m:r>
            </m:oMath>
            <w:r w:rsidRPr="003775B3">
              <w:rPr>
                <w:sz w:val="20"/>
              </w:rPr>
              <w:instrText xml:space="preserve"> </w:instrText>
            </w:r>
            <w:r w:rsidRPr="003775B3">
              <w:rPr>
                <w:sz w:val="20"/>
              </w:rPr>
              <w:fldChar w:fldCharType="end"/>
            </w:r>
            <w:r w:rsidRPr="003775B3">
              <w:rPr>
                <w:sz w:val="20"/>
              </w:rPr>
              <w:t xml:space="preserve"> where </w:t>
            </w:r>
            <w:r w:rsidRPr="003775B3">
              <w:rPr>
                <w:position w:val="-14"/>
                <w:sz w:val="20"/>
              </w:rPr>
              <w:object w:dxaOrig="1280" w:dyaOrig="400" w14:anchorId="752CC1EF">
                <v:shape id="_x0000_i1029" type="#_x0000_t75" style="width:64.15pt;height:19.85pt" o:ole="">
                  <v:imagedata r:id="rId16" o:title=""/>
                </v:shape>
                <o:OLEObject Type="Embed" ProgID="Equation.DSMT4" ShapeID="_x0000_i1029" DrawAspect="Content" ObjectID="_1651070357" r:id="rId17"/>
              </w:object>
            </w:r>
            <w:r w:rsidRPr="003775B3">
              <w:rPr>
                <w:sz w:val="20"/>
              </w:rPr>
              <w:fldChar w:fldCharType="begin"/>
            </w:r>
            <w:r w:rsidRPr="003775B3">
              <w:rPr>
                <w:sz w:val="20"/>
              </w:rPr>
              <w:instrText xml:space="preserve"> QUOTE </w:instrText>
            </w:r>
            <m:oMath>
              <m:sSub>
                <m:sSubPr>
                  <m:ctrlPr>
                    <w:rPr>
                      <w:rFonts w:ascii="Cambria Math" w:hAnsi="Cambria Math"/>
                      <w:i/>
                      <w:sz w:val="20"/>
                    </w:rPr>
                  </m:ctrlPr>
                </m:sSubPr>
                <m:e>
                  <m:r>
                    <m:rPr>
                      <m:sty m:val="p"/>
                    </m:rPr>
                    <w:rPr>
                      <w:rFonts w:ascii="Cambria Math" w:hAnsi="Cambria Math"/>
                      <w:sz w:val="20"/>
                    </w:rPr>
                    <m:t>K</m:t>
                  </m:r>
                </m:e>
                <m:sub>
                  <m:r>
                    <m:rPr>
                      <m:sty m:val="p"/>
                    </m:rPr>
                    <w:rPr>
                      <w:rFonts w:ascii="Cambria Math" w:hAnsi="Cambria Math"/>
                      <w:sz w:val="20"/>
                    </w:rPr>
                    <m:t>NZ</m:t>
                  </m:r>
                </m:sub>
              </m:sSub>
              <m:r>
                <m:rPr>
                  <m:sty m:val="p"/>
                </m:rPr>
                <w:rPr>
                  <w:rFonts w:ascii="Cambria Math" w:hAnsi="Cambria Math"/>
                  <w:sz w:val="20"/>
                </w:rPr>
                <m:t>(λ,k,</m:t>
              </m:r>
              <m:sSub>
                <m:sSubPr>
                  <m:ctrlPr>
                    <w:rPr>
                      <w:rFonts w:ascii="Cambria Math" w:hAnsi="Cambria Math"/>
                      <w:sz w:val="20"/>
                    </w:rPr>
                  </m:ctrlPr>
                </m:sSubPr>
                <m:e>
                  <m:r>
                    <m:rPr>
                      <m:sty m:val="p"/>
                    </m:rPr>
                    <w:rPr>
                      <w:rFonts w:ascii="Cambria Math" w:hAnsi="Cambria Math"/>
                      <w:sz w:val="20"/>
                    </w:rPr>
                    <m:t>l</m:t>
                  </m:r>
                </m:e>
                <m:sub>
                  <m:r>
                    <m:rPr>
                      <m:sty m:val="p"/>
                    </m:rPr>
                    <w:rPr>
                      <w:rFonts w:ascii="Cambria Math" w:hAnsi="Cambria Math"/>
                      <w:sz w:val="20"/>
                    </w:rPr>
                    <m:t>0</m:t>
                  </m:r>
                </m:sub>
              </m:sSub>
              <m:r>
                <m:rPr>
                  <m:sty m:val="p"/>
                </m:rPr>
                <w:rPr>
                  <w:rFonts w:ascii="Cambria Math" w:hAnsi="Cambria Math"/>
                  <w:sz w:val="20"/>
                </w:rPr>
                <m:t>)</m:t>
              </m:r>
            </m:oMath>
            <w:r w:rsidRPr="003775B3">
              <w:rPr>
                <w:sz w:val="20"/>
              </w:rPr>
              <w:instrText xml:space="preserve"> </w:instrText>
            </w:r>
            <w:r w:rsidRPr="003775B3">
              <w:rPr>
                <w:sz w:val="20"/>
              </w:rPr>
              <w:fldChar w:fldCharType="end"/>
            </w:r>
            <w:r w:rsidRPr="003775B3">
              <w:rPr>
                <w:sz w:val="20"/>
              </w:rPr>
              <w:t xml:space="preserve"> denotes the number of NZCs associated with </w:t>
            </w:r>
            <w:r w:rsidRPr="003775B3">
              <w:rPr>
                <w:position w:val="-14"/>
                <w:sz w:val="20"/>
              </w:rPr>
              <w:object w:dxaOrig="859" w:dyaOrig="400" w14:anchorId="453F4AFA">
                <v:shape id="_x0000_i1030" type="#_x0000_t75" style="width:43.4pt;height:19.85pt" o:ole="">
                  <v:imagedata r:id="rId14" o:title=""/>
                </v:shape>
                <o:OLEObject Type="Embed" ProgID="Equation.DSMT4" ShapeID="_x0000_i1030" DrawAspect="Content" ObjectID="_1651070358" r:id="rId18"/>
              </w:object>
            </w:r>
            <w:r w:rsidRPr="003775B3">
              <w:rPr>
                <w:sz w:val="20"/>
              </w:rPr>
              <w:fldChar w:fldCharType="begin"/>
            </w:r>
            <w:r w:rsidRPr="003775B3">
              <w:rPr>
                <w:sz w:val="20"/>
              </w:rPr>
              <w:instrText xml:space="preserve"> QUOTE </w:instrText>
            </w:r>
            <m:oMath>
              <m:r>
                <m:rPr>
                  <m:sty m:val="p"/>
                </m:rPr>
                <w:rPr>
                  <w:rFonts w:ascii="Cambria Math" w:hAnsi="Cambria Math"/>
                  <w:sz w:val="20"/>
                </w:rPr>
                <m:t>(λ,k,</m:t>
              </m:r>
              <m:sSub>
                <m:sSubPr>
                  <m:ctrlPr>
                    <w:rPr>
                      <w:rFonts w:ascii="Cambria Math" w:hAnsi="Cambria Math"/>
                      <w:sz w:val="20"/>
                    </w:rPr>
                  </m:ctrlPr>
                </m:sSubPr>
                <m:e>
                  <m:r>
                    <m:rPr>
                      <m:sty m:val="p"/>
                    </m:rPr>
                    <w:rPr>
                      <w:rFonts w:ascii="Cambria Math" w:hAnsi="Cambria Math"/>
                      <w:sz w:val="20"/>
                    </w:rPr>
                    <m:t>l</m:t>
                  </m:r>
                </m:e>
                <m:sub>
                  <m:r>
                    <m:rPr>
                      <m:sty m:val="p"/>
                    </m:rPr>
                    <w:rPr>
                      <w:rFonts w:ascii="Cambria Math" w:hAnsi="Cambria Math"/>
                      <w:sz w:val="20"/>
                    </w:rPr>
                    <m:t>0</m:t>
                  </m:r>
                </m:sub>
              </m:sSub>
              <m:r>
                <m:rPr>
                  <m:sty m:val="p"/>
                </m:rPr>
                <w:rPr>
                  <w:rFonts w:ascii="Cambria Math" w:hAnsi="Cambria Math"/>
                  <w:sz w:val="20"/>
                </w:rPr>
                <m:t>)</m:t>
              </m:r>
            </m:oMath>
            <w:r w:rsidRPr="003775B3">
              <w:rPr>
                <w:sz w:val="20"/>
              </w:rPr>
              <w:instrText xml:space="preserve"> </w:instrText>
            </w:r>
            <w:r w:rsidRPr="003775B3">
              <w:rPr>
                <w:sz w:val="20"/>
              </w:rPr>
              <w:fldChar w:fldCharType="end"/>
            </w:r>
            <w:r w:rsidRPr="003775B3">
              <w:rPr>
                <w:sz w:val="20"/>
              </w:rPr>
              <w:t>.</w:t>
            </w:r>
          </w:p>
          <w:p w14:paraId="04D4414F" w14:textId="345BB05E" w:rsidR="003775B3" w:rsidRPr="003775B3" w:rsidRDefault="003775B3" w:rsidP="003775B3">
            <w:pPr>
              <w:pStyle w:val="ListParagraph"/>
              <w:numPr>
                <w:ilvl w:val="1"/>
                <w:numId w:val="46"/>
              </w:numPr>
              <w:spacing w:after="0"/>
              <w:ind w:leftChars="0"/>
              <w:rPr>
                <w:sz w:val="20"/>
              </w:rPr>
            </w:pPr>
            <w:r w:rsidRPr="003775B3">
              <w:rPr>
                <w:sz w:val="20"/>
              </w:rPr>
              <w:t xml:space="preserve">The value of </w:t>
            </w:r>
            <w:bookmarkStart w:id="3" w:name="MTBlankEqn"/>
            <w:r w:rsidRPr="003775B3">
              <w:rPr>
                <w:position w:val="-14"/>
                <w:sz w:val="20"/>
              </w:rPr>
              <w:object w:dxaOrig="300" w:dyaOrig="380" w14:anchorId="4521523A">
                <v:shape id="_x0000_i1031" type="#_x0000_t75" style="width:15.25pt;height:19.4pt" o:ole="">
                  <v:imagedata r:id="rId19" o:title=""/>
                </v:shape>
                <o:OLEObject Type="Embed" ProgID="Equation.DSMT4" ShapeID="_x0000_i1031" DrawAspect="Content" ObjectID="_1651070359" r:id="rId20"/>
              </w:object>
            </w:r>
            <w:bookmarkEnd w:id="3"/>
            <w:r w:rsidRPr="003775B3">
              <w:rPr>
                <w:sz w:val="20"/>
              </w:rPr>
              <w:fldChar w:fldCharType="begin"/>
            </w:r>
            <w:r w:rsidRPr="003775B3">
              <w:rPr>
                <w:sz w:val="20"/>
              </w:rPr>
              <w:instrText xml:space="preserve"> QUOTE </w:instrText>
            </w:r>
            <m:oMath>
              <m:sSub>
                <m:sSubPr>
                  <m:ctrlPr>
                    <w:rPr>
                      <w:rFonts w:ascii="Cambria Math" w:hAnsi="Cambria Math"/>
                      <w:i/>
                      <w:sz w:val="20"/>
                    </w:rPr>
                  </m:ctrlPr>
                </m:sSubPr>
                <m:e>
                  <m:r>
                    <m:rPr>
                      <m:sty m:val="p"/>
                    </m:rPr>
                    <w:rPr>
                      <w:rFonts w:ascii="Cambria Math" w:hAnsi="Cambria Math"/>
                      <w:sz w:val="20"/>
                    </w:rPr>
                    <m:t>γ</m:t>
                  </m:r>
                </m:e>
                <m:sub>
                  <m:sSub>
                    <m:sSubPr>
                      <m:ctrlPr>
                        <w:rPr>
                          <w:rFonts w:ascii="Cambria Math" w:hAnsi="Cambria Math"/>
                          <w:i/>
                          <w:sz w:val="20"/>
                        </w:rPr>
                      </m:ctrlPr>
                    </m:sSubPr>
                    <m:e>
                      <m:r>
                        <m:rPr>
                          <m:sty m:val="p"/>
                        </m:rPr>
                        <w:rPr>
                          <w:rFonts w:ascii="Cambria Math" w:hAnsi="Cambria Math"/>
                          <w:sz w:val="20"/>
                        </w:rPr>
                        <m:t>l</m:t>
                      </m:r>
                    </m:e>
                    <m:sub>
                      <m:r>
                        <m:rPr>
                          <m:sty m:val="p"/>
                        </m:rPr>
                        <w:rPr>
                          <w:rFonts w:ascii="Cambria Math" w:hAnsi="Cambria Math"/>
                          <w:sz w:val="20"/>
                        </w:rPr>
                        <m:t>0</m:t>
                      </m:r>
                    </m:sub>
                  </m:sSub>
                </m:sub>
              </m:sSub>
            </m:oMath>
            <w:r w:rsidRPr="003775B3">
              <w:rPr>
                <w:sz w:val="20"/>
              </w:rPr>
              <w:instrText xml:space="preserve"> </w:instrText>
            </w:r>
            <w:r w:rsidRPr="003775B3">
              <w:rPr>
                <w:sz w:val="20"/>
              </w:rPr>
              <w:fldChar w:fldCharType="end"/>
            </w:r>
            <w:r w:rsidRPr="003775B3">
              <w:rPr>
                <w:sz w:val="20"/>
              </w:rPr>
              <w:t xml:space="preserve"> is configured from the Rel.15 2-bit amplitude restriction table</w:t>
            </w:r>
          </w:p>
          <w:p w14:paraId="5DDA2D18" w14:textId="77777777" w:rsidR="003775B3" w:rsidRPr="003775B3" w:rsidRDefault="003775B3" w:rsidP="003775B3">
            <w:pPr>
              <w:pStyle w:val="ListParagraph"/>
              <w:numPr>
                <w:ilvl w:val="1"/>
                <w:numId w:val="46"/>
              </w:numPr>
              <w:spacing w:after="0"/>
              <w:ind w:leftChars="0"/>
              <w:rPr>
                <w:sz w:val="20"/>
              </w:rPr>
            </w:pPr>
            <w:r w:rsidRPr="003775B3">
              <w:rPr>
                <w:sz w:val="20"/>
              </w:rPr>
              <w:t>The number of beam-groups is the same as Rel.15 Type II CBSR</w:t>
            </w:r>
          </w:p>
          <w:p w14:paraId="1600D0CE" w14:textId="77777777" w:rsidR="003775B3" w:rsidRPr="003775B3" w:rsidRDefault="003775B3" w:rsidP="003775B3">
            <w:pPr>
              <w:rPr>
                <w:sz w:val="20"/>
              </w:rPr>
            </w:pPr>
            <w:r w:rsidRPr="003775B3">
              <w:rPr>
                <w:sz w:val="20"/>
                <w:highlight w:val="yellow"/>
              </w:rPr>
              <w:t>Support Alt0 as mandatory and Alt3A (described above) as optional analogous to Rel.15 Type II codebook</w:t>
            </w:r>
            <w:r w:rsidRPr="003775B3">
              <w:rPr>
                <w:sz w:val="20"/>
              </w:rPr>
              <w:t xml:space="preserve">. </w:t>
            </w:r>
          </w:p>
          <w:p w14:paraId="20ED8C9E" w14:textId="71E404D3" w:rsidR="003775B3" w:rsidRPr="003775B3" w:rsidRDefault="003775B3" w:rsidP="00A151BA">
            <w:pPr>
              <w:pStyle w:val="ListParagraph"/>
              <w:numPr>
                <w:ilvl w:val="0"/>
                <w:numId w:val="48"/>
              </w:numPr>
              <w:spacing w:after="0"/>
              <w:ind w:leftChars="0"/>
              <w:rPr>
                <w:sz w:val="20"/>
              </w:rPr>
            </w:pPr>
            <w:r w:rsidRPr="003775B3">
              <w:rPr>
                <w:sz w:val="20"/>
              </w:rPr>
              <w:t>Cf. Notes in UE capability agreement in RAN1#98bis regarding “mandatory” and “optional”</w:t>
            </w:r>
          </w:p>
        </w:tc>
      </w:tr>
    </w:tbl>
    <w:p w14:paraId="18E7149C" w14:textId="77777777" w:rsidR="003775B3" w:rsidRDefault="003775B3" w:rsidP="00A151BA">
      <w:pPr>
        <w:spacing w:after="0"/>
        <w:rPr>
          <w:sz w:val="20"/>
        </w:rPr>
      </w:pPr>
    </w:p>
    <w:p w14:paraId="6A49A6D5" w14:textId="725C168B" w:rsidR="00787B6F" w:rsidRDefault="00787B6F" w:rsidP="00A151BA">
      <w:pPr>
        <w:spacing w:after="0"/>
        <w:rPr>
          <w:sz w:val="20"/>
        </w:rPr>
      </w:pPr>
      <w:r>
        <w:rPr>
          <w:sz w:val="20"/>
        </w:rPr>
        <w:t>As highlighted, the soft restriction (Alt 0 in agreement) is mandatory for a UE supporting CBSR and soft restriction (Alt 3A in agreement) is optional. Based on this agreement and</w:t>
      </w:r>
      <w:r w:rsidR="00A151BA">
        <w:rPr>
          <w:sz w:val="20"/>
        </w:rPr>
        <w:t xml:space="preserve"> two alternatives </w:t>
      </w:r>
      <w:r w:rsidR="007D5FB8">
        <w:rPr>
          <w:sz w:val="20"/>
        </w:rPr>
        <w:t xml:space="preserve">(ALT 1 and ALT 2) </w:t>
      </w:r>
      <w:r w:rsidR="00A151BA">
        <w:rPr>
          <w:sz w:val="20"/>
        </w:rPr>
        <w:t>a</w:t>
      </w:r>
      <w:r w:rsidR="004E03F1" w:rsidRPr="00D939FF">
        <w:rPr>
          <w:sz w:val="20"/>
        </w:rPr>
        <w:t xml:space="preserve">ccording to </w:t>
      </w:r>
      <w:r w:rsidR="00A151BA">
        <w:rPr>
          <w:sz w:val="20"/>
        </w:rPr>
        <w:t>FG 16-3a-4</w:t>
      </w:r>
      <w:r>
        <w:rPr>
          <w:sz w:val="20"/>
        </w:rPr>
        <w:t>, there are two possible options for capability signalling:</w:t>
      </w:r>
    </w:p>
    <w:p w14:paraId="7651B915" w14:textId="015ED6FE" w:rsidR="00A151BA" w:rsidRPr="007D5FB8" w:rsidRDefault="007D5FB8" w:rsidP="00787B6F">
      <w:pPr>
        <w:pStyle w:val="ListParagraph"/>
        <w:numPr>
          <w:ilvl w:val="0"/>
          <w:numId w:val="48"/>
        </w:numPr>
        <w:spacing w:after="0"/>
        <w:ind w:leftChars="0"/>
        <w:rPr>
          <w:color w:val="000000" w:themeColor="text1"/>
          <w:sz w:val="20"/>
          <w:lang w:eastAsia="ko-KR"/>
        </w:rPr>
      </w:pPr>
      <w:r>
        <w:rPr>
          <w:sz w:val="20"/>
        </w:rPr>
        <w:t xml:space="preserve">Option 1: if </w:t>
      </w:r>
      <w:r w:rsidR="00A151BA" w:rsidRPr="00787B6F">
        <w:rPr>
          <w:sz w:val="20"/>
        </w:rPr>
        <w:t>ALT 1</w:t>
      </w:r>
      <w:r>
        <w:rPr>
          <w:sz w:val="20"/>
        </w:rPr>
        <w:t xml:space="preserve"> </w:t>
      </w:r>
      <w:r w:rsidR="00396CA8">
        <w:rPr>
          <w:sz w:val="20"/>
        </w:rPr>
        <w:t xml:space="preserve">of FG 16-3a-4 </w:t>
      </w:r>
      <w:r>
        <w:rPr>
          <w:sz w:val="20"/>
        </w:rPr>
        <w:t>is agreed</w:t>
      </w:r>
      <w:r w:rsidR="00A151BA" w:rsidRPr="00787B6F">
        <w:rPr>
          <w:sz w:val="20"/>
        </w:rPr>
        <w:t>,</w:t>
      </w:r>
      <w:r>
        <w:rPr>
          <w:sz w:val="20"/>
        </w:rPr>
        <w:t xml:space="preserve"> then FFS in FG 16-3a should be included (not removed)</w:t>
      </w:r>
      <w:r w:rsidR="00FE6E96">
        <w:rPr>
          <w:sz w:val="20"/>
        </w:rPr>
        <w:t>. Hence,</w:t>
      </w:r>
    </w:p>
    <w:p w14:paraId="4ACDAC50" w14:textId="3D82812F" w:rsidR="007D5FB8" w:rsidRPr="007D5FB8" w:rsidRDefault="007D5FB8" w:rsidP="007D5FB8">
      <w:pPr>
        <w:pStyle w:val="ListParagraph"/>
        <w:numPr>
          <w:ilvl w:val="1"/>
          <w:numId w:val="48"/>
        </w:numPr>
        <w:spacing w:after="0"/>
        <w:ind w:leftChars="0"/>
        <w:rPr>
          <w:color w:val="000000" w:themeColor="text1"/>
          <w:sz w:val="20"/>
          <w:lang w:eastAsia="ko-KR"/>
        </w:rPr>
      </w:pPr>
      <w:r>
        <w:rPr>
          <w:sz w:val="20"/>
        </w:rPr>
        <w:t xml:space="preserve">FG 16-3a includes #4 basis component - </w:t>
      </w:r>
      <w:r w:rsidRPr="007D5FB8">
        <w:rPr>
          <w:sz w:val="20"/>
        </w:rPr>
        <w:t>CBSR with hard amplitude restriction</w:t>
      </w:r>
    </w:p>
    <w:p w14:paraId="52A2C655" w14:textId="62AB8BC0" w:rsidR="007D5FB8" w:rsidRPr="00787B6F" w:rsidRDefault="007D5FB8" w:rsidP="007D5FB8">
      <w:pPr>
        <w:pStyle w:val="ListParagraph"/>
        <w:numPr>
          <w:ilvl w:val="1"/>
          <w:numId w:val="48"/>
        </w:numPr>
        <w:spacing w:after="0"/>
        <w:ind w:leftChars="0"/>
        <w:rPr>
          <w:color w:val="000000" w:themeColor="text1"/>
          <w:sz w:val="20"/>
          <w:lang w:eastAsia="ko-KR"/>
        </w:rPr>
      </w:pPr>
      <w:r>
        <w:rPr>
          <w:sz w:val="20"/>
        </w:rPr>
        <w:t xml:space="preserve">FG 16-3a-4 includes </w:t>
      </w:r>
      <w:r w:rsidRPr="007D5FB8">
        <w:rPr>
          <w:sz w:val="20"/>
        </w:rPr>
        <w:t xml:space="preserve">CBSR with </w:t>
      </w:r>
      <w:r>
        <w:rPr>
          <w:sz w:val="20"/>
        </w:rPr>
        <w:t>soft</w:t>
      </w:r>
      <w:r w:rsidRPr="007D5FB8">
        <w:rPr>
          <w:sz w:val="20"/>
        </w:rPr>
        <w:t xml:space="preserve"> amplitude restriction</w:t>
      </w:r>
    </w:p>
    <w:p w14:paraId="7D615FF6" w14:textId="69B765A0" w:rsidR="00A151BA" w:rsidRPr="00396CA8" w:rsidRDefault="007D5FB8" w:rsidP="00787B6F">
      <w:pPr>
        <w:pStyle w:val="ListParagraph"/>
        <w:numPr>
          <w:ilvl w:val="0"/>
          <w:numId w:val="48"/>
        </w:numPr>
        <w:spacing w:after="0"/>
        <w:ind w:leftChars="0"/>
        <w:rPr>
          <w:sz w:val="20"/>
        </w:rPr>
      </w:pPr>
      <w:r>
        <w:rPr>
          <w:color w:val="000000" w:themeColor="text1"/>
          <w:sz w:val="20"/>
          <w:lang w:eastAsia="ko-KR"/>
        </w:rPr>
        <w:t xml:space="preserve">Option 2: if </w:t>
      </w:r>
      <w:r w:rsidR="00A151BA" w:rsidRPr="00787B6F">
        <w:rPr>
          <w:color w:val="000000" w:themeColor="text1"/>
          <w:sz w:val="20"/>
          <w:lang w:eastAsia="ko-KR"/>
        </w:rPr>
        <w:t>ALT 2</w:t>
      </w:r>
      <w:r w:rsidR="00396CA8">
        <w:rPr>
          <w:color w:val="000000" w:themeColor="text1"/>
          <w:sz w:val="20"/>
          <w:lang w:eastAsia="ko-KR"/>
        </w:rPr>
        <w:t xml:space="preserve"> of </w:t>
      </w:r>
      <w:r w:rsidR="00396CA8">
        <w:rPr>
          <w:sz w:val="20"/>
        </w:rPr>
        <w:t>FG 16-3a-4</w:t>
      </w:r>
      <w:r w:rsidR="00A151BA" w:rsidRPr="00787B6F">
        <w:rPr>
          <w:color w:val="000000" w:themeColor="text1"/>
          <w:sz w:val="20"/>
          <w:lang w:eastAsia="ko-KR"/>
        </w:rPr>
        <w:t xml:space="preserve">, </w:t>
      </w:r>
      <w:r w:rsidR="00396CA8">
        <w:rPr>
          <w:color w:val="000000" w:themeColor="text1"/>
          <w:sz w:val="20"/>
          <w:lang w:eastAsia="ko-KR"/>
        </w:rPr>
        <w:t xml:space="preserve">then entire </w:t>
      </w:r>
      <w:r w:rsidR="00A151BA" w:rsidRPr="00787B6F">
        <w:rPr>
          <w:color w:val="000000" w:themeColor="text1"/>
          <w:sz w:val="20"/>
          <w:lang w:eastAsia="ko-KR"/>
        </w:rPr>
        <w:t xml:space="preserve">CBSR (both hard as well as soft </w:t>
      </w:r>
      <w:r w:rsidR="00396CA8">
        <w:rPr>
          <w:color w:val="000000" w:themeColor="text1"/>
          <w:sz w:val="20"/>
          <w:lang w:eastAsia="ko-KR"/>
        </w:rPr>
        <w:t xml:space="preserve">amplitude </w:t>
      </w:r>
      <w:r w:rsidR="00A151BA" w:rsidRPr="00787B6F">
        <w:rPr>
          <w:color w:val="000000" w:themeColor="text1"/>
          <w:sz w:val="20"/>
          <w:lang w:eastAsia="ko-KR"/>
        </w:rPr>
        <w:t>restrictions) is a UE optional feature.</w:t>
      </w:r>
      <w:r w:rsidR="00FE6E96">
        <w:rPr>
          <w:color w:val="000000" w:themeColor="text1"/>
          <w:sz w:val="20"/>
          <w:lang w:eastAsia="ko-KR"/>
        </w:rPr>
        <w:t xml:space="preserve"> Hence,</w:t>
      </w:r>
      <w:r w:rsidR="00A151BA" w:rsidRPr="00787B6F">
        <w:rPr>
          <w:color w:val="000000" w:themeColor="text1"/>
          <w:sz w:val="20"/>
          <w:lang w:eastAsia="ko-KR"/>
        </w:rPr>
        <w:t xml:space="preserve"> </w:t>
      </w:r>
    </w:p>
    <w:p w14:paraId="4B7E135A" w14:textId="52B37B4D" w:rsidR="00396CA8" w:rsidRPr="007D5FB8" w:rsidRDefault="00396CA8" w:rsidP="00396CA8">
      <w:pPr>
        <w:pStyle w:val="ListParagraph"/>
        <w:numPr>
          <w:ilvl w:val="1"/>
          <w:numId w:val="48"/>
        </w:numPr>
        <w:spacing w:after="0"/>
        <w:ind w:leftChars="0"/>
        <w:rPr>
          <w:color w:val="000000" w:themeColor="text1"/>
          <w:sz w:val="20"/>
          <w:lang w:eastAsia="ko-KR"/>
        </w:rPr>
      </w:pPr>
      <w:r>
        <w:rPr>
          <w:sz w:val="20"/>
        </w:rPr>
        <w:t>Item #4 basis component from FG 16-3a is removed</w:t>
      </w:r>
    </w:p>
    <w:p w14:paraId="3EB93824" w14:textId="75FA849E" w:rsidR="00396CA8" w:rsidRPr="00787B6F" w:rsidRDefault="00396CA8" w:rsidP="00396CA8">
      <w:pPr>
        <w:pStyle w:val="ListParagraph"/>
        <w:numPr>
          <w:ilvl w:val="1"/>
          <w:numId w:val="48"/>
        </w:numPr>
        <w:spacing w:after="0"/>
        <w:ind w:leftChars="0"/>
        <w:rPr>
          <w:color w:val="000000" w:themeColor="text1"/>
          <w:sz w:val="20"/>
          <w:lang w:eastAsia="ko-KR"/>
        </w:rPr>
      </w:pPr>
      <w:r>
        <w:rPr>
          <w:sz w:val="20"/>
        </w:rPr>
        <w:t xml:space="preserve">FG 16-3a-4 includes </w:t>
      </w:r>
      <w:r w:rsidRPr="007D5FB8">
        <w:rPr>
          <w:sz w:val="20"/>
        </w:rPr>
        <w:t>CBSR</w:t>
      </w:r>
      <w:r w:rsidR="00FE6E96">
        <w:rPr>
          <w:sz w:val="20"/>
        </w:rPr>
        <w:t>. Since soft restriction was agreed to UE optional, the capability signalling according to FG 16-3a-4 should include explicit indication whether the UE is capable of soft amplitude restriction.</w:t>
      </w:r>
    </w:p>
    <w:p w14:paraId="6EE1120B" w14:textId="77777777" w:rsidR="00396CA8" w:rsidRPr="00396CA8" w:rsidRDefault="00396CA8" w:rsidP="00396CA8">
      <w:pPr>
        <w:spacing w:after="0"/>
        <w:rPr>
          <w:sz w:val="20"/>
        </w:rPr>
      </w:pPr>
    </w:p>
    <w:p w14:paraId="2B7ED784" w14:textId="44445E0B" w:rsidR="004E03F1" w:rsidRDefault="00FE6E96" w:rsidP="004E03F1">
      <w:pPr>
        <w:spacing w:after="0"/>
        <w:rPr>
          <w:sz w:val="20"/>
        </w:rPr>
      </w:pPr>
      <w:r>
        <w:rPr>
          <w:sz w:val="20"/>
        </w:rPr>
        <w:t>In our view,</w:t>
      </w:r>
      <w:r w:rsidR="00821E18">
        <w:rPr>
          <w:sz w:val="20"/>
        </w:rPr>
        <w:t xml:space="preserve"> support</w:t>
      </w:r>
      <w:r>
        <w:rPr>
          <w:sz w:val="20"/>
        </w:rPr>
        <w:t xml:space="preserve"> of CBSR is a basic feature of a codebook since it provides more flexibility to the network. Therefore, Option 1 is preferable. </w:t>
      </w:r>
      <w:r w:rsidR="009A5EE4">
        <w:rPr>
          <w:sz w:val="20"/>
        </w:rPr>
        <w:t>Note that</w:t>
      </w:r>
      <w:r w:rsidR="004E03F1" w:rsidRPr="00D939FF">
        <w:rPr>
          <w:sz w:val="20"/>
        </w:rPr>
        <w:t xml:space="preserve"> there is a similar capability signalling of </w:t>
      </w:r>
      <w:r w:rsidR="004E03F1" w:rsidRPr="00D939FF">
        <w:rPr>
          <w:i/>
          <w:iCs/>
          <w:sz w:val="20"/>
        </w:rPr>
        <w:t>amplitudeSubsetRestriction</w:t>
      </w:r>
      <w:r w:rsidR="004E03F1" w:rsidRPr="00D939FF">
        <w:rPr>
          <w:sz w:val="20"/>
        </w:rPr>
        <w:t xml:space="preserve"> for “soft” amplitude restriction</w:t>
      </w:r>
      <w:r w:rsidR="00BC52D6">
        <w:rPr>
          <w:sz w:val="20"/>
        </w:rPr>
        <w:t xml:space="preserve"> in</w:t>
      </w:r>
      <w:r w:rsidR="004E03F1" w:rsidRPr="00D939FF">
        <w:rPr>
          <w:sz w:val="20"/>
        </w:rPr>
        <w:t xml:space="preserve"> Rel. 15 TypeII CBSR, the same capability signalling can be reused for </w:t>
      </w:r>
      <w:r w:rsidR="00BC52D6">
        <w:rPr>
          <w:sz w:val="20"/>
        </w:rPr>
        <w:t xml:space="preserve">Rel. 16 </w:t>
      </w:r>
      <w:r w:rsidR="004E03F1" w:rsidRPr="00D939FF">
        <w:rPr>
          <w:sz w:val="20"/>
        </w:rPr>
        <w:t>eTypeII.</w:t>
      </w:r>
    </w:p>
    <w:p w14:paraId="68A086D7" w14:textId="77777777" w:rsidR="004E03F1" w:rsidRDefault="004E03F1" w:rsidP="004E03F1">
      <w:pPr>
        <w:spacing w:after="0"/>
        <w:rPr>
          <w:sz w:val="20"/>
          <w:lang w:eastAsia="ko-KR"/>
        </w:rPr>
      </w:pPr>
    </w:p>
    <w:p w14:paraId="14F40875" w14:textId="65983256" w:rsidR="00CC2301" w:rsidRPr="00CC2301" w:rsidRDefault="00CC2301" w:rsidP="004E03F1">
      <w:pPr>
        <w:spacing w:after="0"/>
        <w:rPr>
          <w:i/>
          <w:sz w:val="20"/>
          <w:lang w:eastAsia="ko-KR"/>
        </w:rPr>
      </w:pPr>
      <w:r w:rsidRPr="00CC2301">
        <w:rPr>
          <w:b/>
          <w:i/>
          <w:sz w:val="20"/>
          <w:lang w:eastAsia="ko-KR"/>
        </w:rPr>
        <w:t>Proposal 1</w:t>
      </w:r>
      <w:r w:rsidRPr="00CC2301">
        <w:rPr>
          <w:i/>
          <w:sz w:val="20"/>
          <w:lang w:eastAsia="ko-KR"/>
        </w:rPr>
        <w:t>: Support Option 1</w:t>
      </w:r>
      <w:r>
        <w:rPr>
          <w:i/>
          <w:sz w:val="20"/>
          <w:lang w:eastAsia="ko-KR"/>
        </w:rPr>
        <w:t xml:space="preserve"> </w:t>
      </w:r>
      <w:r w:rsidR="00C9154E">
        <w:rPr>
          <w:i/>
          <w:sz w:val="20"/>
          <w:lang w:eastAsia="ko-KR"/>
        </w:rPr>
        <w:t>for</w:t>
      </w:r>
      <w:r>
        <w:rPr>
          <w:i/>
          <w:sz w:val="20"/>
          <w:lang w:eastAsia="ko-KR"/>
        </w:rPr>
        <w:t xml:space="preserve"> Rel. 16 eTypeII</w:t>
      </w:r>
      <w:r w:rsidR="00C9154E">
        <w:rPr>
          <w:i/>
          <w:sz w:val="20"/>
          <w:lang w:eastAsia="ko-KR"/>
        </w:rPr>
        <w:t xml:space="preserve"> CBSR</w:t>
      </w:r>
      <w:r>
        <w:rPr>
          <w:i/>
          <w:sz w:val="20"/>
          <w:lang w:eastAsia="ko-KR"/>
        </w:rPr>
        <w:t>, i.e.,</w:t>
      </w:r>
    </w:p>
    <w:p w14:paraId="496C1583" w14:textId="77777777" w:rsidR="00CC2301" w:rsidRPr="00CC2301" w:rsidRDefault="00CC2301" w:rsidP="00CC2301">
      <w:pPr>
        <w:pStyle w:val="ListParagraph"/>
        <w:numPr>
          <w:ilvl w:val="0"/>
          <w:numId w:val="48"/>
        </w:numPr>
        <w:spacing w:after="0"/>
        <w:ind w:leftChars="0"/>
        <w:rPr>
          <w:i/>
          <w:color w:val="000000" w:themeColor="text1"/>
          <w:sz w:val="20"/>
          <w:lang w:eastAsia="ko-KR"/>
        </w:rPr>
      </w:pPr>
      <w:r w:rsidRPr="00CC2301">
        <w:rPr>
          <w:i/>
          <w:sz w:val="20"/>
        </w:rPr>
        <w:t>FG 16-3a includes #4 basis component - CBSR with hard amplitude restriction</w:t>
      </w:r>
    </w:p>
    <w:p w14:paraId="5282110A" w14:textId="0DD89E1F" w:rsidR="00CC2301" w:rsidRPr="009A5EE4" w:rsidRDefault="00CC2301" w:rsidP="00CC2301">
      <w:pPr>
        <w:pStyle w:val="ListParagraph"/>
        <w:numPr>
          <w:ilvl w:val="0"/>
          <w:numId w:val="48"/>
        </w:numPr>
        <w:spacing w:after="0"/>
        <w:ind w:leftChars="0"/>
        <w:rPr>
          <w:i/>
          <w:color w:val="000000" w:themeColor="text1"/>
          <w:sz w:val="20"/>
          <w:lang w:eastAsia="ko-KR"/>
        </w:rPr>
      </w:pPr>
      <w:r w:rsidRPr="00CC2301">
        <w:rPr>
          <w:i/>
          <w:sz w:val="20"/>
        </w:rPr>
        <w:t>FG 16-3a-4 includes CBSR with soft amplitude restriction</w:t>
      </w:r>
    </w:p>
    <w:p w14:paraId="4A36C1BC" w14:textId="7B7BC4CC" w:rsidR="009A5EE4" w:rsidRPr="00CC2301" w:rsidRDefault="009A5EE4" w:rsidP="00CC2301">
      <w:pPr>
        <w:pStyle w:val="ListParagraph"/>
        <w:numPr>
          <w:ilvl w:val="0"/>
          <w:numId w:val="48"/>
        </w:numPr>
        <w:spacing w:after="0"/>
        <w:ind w:leftChars="0"/>
        <w:rPr>
          <w:i/>
          <w:color w:val="000000" w:themeColor="text1"/>
          <w:sz w:val="20"/>
          <w:lang w:eastAsia="ko-KR"/>
        </w:rPr>
      </w:pPr>
      <w:r>
        <w:rPr>
          <w:i/>
          <w:sz w:val="20"/>
        </w:rPr>
        <w:t xml:space="preserve">Reuse parameter Rel.15 </w:t>
      </w:r>
      <w:r w:rsidRPr="00D939FF">
        <w:rPr>
          <w:i/>
          <w:iCs/>
          <w:sz w:val="20"/>
        </w:rPr>
        <w:t>amplitudeSubsetRestriction</w:t>
      </w:r>
      <w:r>
        <w:rPr>
          <w:i/>
          <w:iCs/>
          <w:sz w:val="20"/>
        </w:rPr>
        <w:t xml:space="preserve"> for soft amplitude restriction</w:t>
      </w:r>
    </w:p>
    <w:p w14:paraId="65C81F77" w14:textId="77777777" w:rsidR="00CC2301" w:rsidRDefault="00CC2301" w:rsidP="004E03F1">
      <w:pPr>
        <w:spacing w:after="0"/>
        <w:rPr>
          <w:i/>
          <w:sz w:val="20"/>
          <w:lang w:eastAsia="ko-KR"/>
        </w:rPr>
      </w:pPr>
    </w:p>
    <w:p w14:paraId="092FABCE" w14:textId="6F8FC15D" w:rsidR="00BD3270" w:rsidRDefault="00EA2359" w:rsidP="004E03F1">
      <w:pPr>
        <w:spacing w:after="0"/>
        <w:rPr>
          <w:sz w:val="20"/>
          <w:lang w:eastAsia="zh-CN"/>
        </w:rPr>
      </w:pPr>
      <w:r w:rsidRPr="00D939FF">
        <w:rPr>
          <w:sz w:val="20"/>
          <w:lang w:eastAsia="ko-KR"/>
        </w:rPr>
        <w:t xml:space="preserve">The </w:t>
      </w:r>
      <w:r w:rsidRPr="00D939FF">
        <w:rPr>
          <w:sz w:val="20"/>
          <w:u w:val="single"/>
          <w:lang w:eastAsia="ko-KR"/>
        </w:rPr>
        <w:t>second item</w:t>
      </w:r>
      <w:r w:rsidRPr="00D939FF">
        <w:rPr>
          <w:sz w:val="20"/>
          <w:lang w:eastAsia="ko-KR"/>
        </w:rPr>
        <w:t xml:space="preserve"> is </w:t>
      </w:r>
      <w:r w:rsidR="00C9154E">
        <w:rPr>
          <w:sz w:val="20"/>
          <w:lang w:eastAsia="ko-KR"/>
        </w:rPr>
        <w:t xml:space="preserve">regarding FG 16-8 (mixed codebook types </w:t>
      </w:r>
      <w:r w:rsidR="00D336A2" w:rsidRPr="00D939FF">
        <w:rPr>
          <w:sz w:val="20"/>
          <w:lang w:eastAsia="ko-KR"/>
        </w:rPr>
        <w:t>or concurrent codebooks</w:t>
      </w:r>
      <w:r w:rsidR="00C9154E">
        <w:rPr>
          <w:sz w:val="20"/>
          <w:lang w:eastAsia="ko-KR"/>
        </w:rPr>
        <w:t>)</w:t>
      </w:r>
      <w:r w:rsidR="00D336A2" w:rsidRPr="00D939FF">
        <w:rPr>
          <w:sz w:val="20"/>
          <w:lang w:eastAsia="ko-KR"/>
        </w:rPr>
        <w:t xml:space="preserve">. </w:t>
      </w:r>
      <w:r w:rsidR="007B1A3D">
        <w:rPr>
          <w:sz w:val="20"/>
        </w:rPr>
        <w:t xml:space="preserve">In our view, </w:t>
      </w:r>
      <w:r w:rsidR="00AA7461" w:rsidRPr="00D939FF">
        <w:rPr>
          <w:sz w:val="20"/>
        </w:rPr>
        <w:t>the</w:t>
      </w:r>
      <w:r w:rsidR="00AA7461" w:rsidRPr="00D939FF">
        <w:rPr>
          <w:sz w:val="20"/>
          <w:lang w:eastAsia="zh-CN"/>
        </w:rPr>
        <w:t xml:space="preserve"> likelihood of and need for </w:t>
      </w:r>
      <w:r w:rsidR="00BD3270">
        <w:rPr>
          <w:sz w:val="20"/>
          <w:lang w:eastAsia="zh-CN"/>
        </w:rPr>
        <w:t>network</w:t>
      </w:r>
      <w:r w:rsidR="00AA7461" w:rsidRPr="00D939FF">
        <w:rPr>
          <w:sz w:val="20"/>
          <w:lang w:eastAsia="zh-CN"/>
        </w:rPr>
        <w:t xml:space="preserve"> configuring </w:t>
      </w:r>
      <w:r w:rsidR="00BD3270">
        <w:rPr>
          <w:sz w:val="20"/>
          <w:lang w:eastAsia="zh-CN"/>
        </w:rPr>
        <w:t>two Type II codebooks (Rel. 15/16 regular and port selection) to a UE is unclear.</w:t>
      </w:r>
      <w:r w:rsidR="007B1A3D">
        <w:rPr>
          <w:sz w:val="20"/>
          <w:lang w:eastAsia="zh-CN"/>
        </w:rPr>
        <w:t xml:space="preserve"> In practice, processing more than one TypeII CSI reports simultaneously is very challenging (nor desired) in terms of UE’s CPU processing capabilities.</w:t>
      </w:r>
      <w:r w:rsidR="00BD3270">
        <w:rPr>
          <w:sz w:val="20"/>
          <w:lang w:eastAsia="zh-CN"/>
        </w:rPr>
        <w:t xml:space="preserve"> Therefore, </w:t>
      </w:r>
      <w:r w:rsidR="00B46BC5">
        <w:rPr>
          <w:sz w:val="20"/>
          <w:lang w:eastAsia="zh-CN"/>
        </w:rPr>
        <w:t xml:space="preserve">the details of FG 16-8 should be </w:t>
      </w:r>
      <w:r w:rsidR="00163174">
        <w:rPr>
          <w:sz w:val="20"/>
          <w:lang w:eastAsia="zh-CN"/>
        </w:rPr>
        <w:t xml:space="preserve">discussed </w:t>
      </w:r>
      <w:r w:rsidR="00B46BC5">
        <w:rPr>
          <w:sz w:val="20"/>
          <w:lang w:eastAsia="zh-CN"/>
        </w:rPr>
        <w:t xml:space="preserve">based on the assumption that </w:t>
      </w:r>
      <w:r w:rsidR="00BD3270">
        <w:rPr>
          <w:sz w:val="20"/>
          <w:lang w:eastAsia="zh-CN"/>
        </w:rPr>
        <w:t xml:space="preserve">a mixed codebook type </w:t>
      </w:r>
      <w:r w:rsidR="00B46BC5">
        <w:rPr>
          <w:sz w:val="20"/>
          <w:lang w:eastAsia="zh-CN"/>
        </w:rPr>
        <w:t>shall not</w:t>
      </w:r>
      <w:r w:rsidR="00BD3270">
        <w:rPr>
          <w:sz w:val="20"/>
          <w:lang w:eastAsia="zh-CN"/>
        </w:rPr>
        <w:t xml:space="preserve"> include more than one TypeII codebooks. </w:t>
      </w:r>
    </w:p>
    <w:p w14:paraId="6FFFC7D1" w14:textId="77777777" w:rsidR="00BD3270" w:rsidRDefault="00BD3270" w:rsidP="004E03F1">
      <w:pPr>
        <w:spacing w:after="0"/>
        <w:rPr>
          <w:sz w:val="20"/>
          <w:lang w:eastAsia="zh-CN"/>
        </w:rPr>
      </w:pPr>
    </w:p>
    <w:p w14:paraId="0C60AFA7" w14:textId="2726F4B4" w:rsidR="00AA7461" w:rsidRPr="00D939FF" w:rsidRDefault="00CC2301" w:rsidP="00AA7461">
      <w:pPr>
        <w:rPr>
          <w:i/>
          <w:sz w:val="20"/>
          <w:lang w:eastAsia="ko-KR"/>
        </w:rPr>
      </w:pPr>
      <w:r>
        <w:rPr>
          <w:b/>
          <w:i/>
          <w:sz w:val="20"/>
          <w:lang w:eastAsia="ko-KR"/>
        </w:rPr>
        <w:t xml:space="preserve">Proposal </w:t>
      </w:r>
      <w:r w:rsidR="00B46BC5">
        <w:rPr>
          <w:b/>
          <w:i/>
          <w:sz w:val="20"/>
          <w:lang w:eastAsia="ko-KR"/>
        </w:rPr>
        <w:t>2</w:t>
      </w:r>
      <w:r w:rsidR="00AA7461" w:rsidRPr="00D939FF">
        <w:rPr>
          <w:i/>
          <w:sz w:val="20"/>
          <w:lang w:eastAsia="ko-KR"/>
        </w:rPr>
        <w:t>:</w:t>
      </w:r>
      <w:r w:rsidR="00B46BC5">
        <w:rPr>
          <w:i/>
          <w:sz w:val="20"/>
          <w:lang w:eastAsia="ko-KR"/>
        </w:rPr>
        <w:t xml:space="preserve"> </w:t>
      </w:r>
      <w:r w:rsidR="00B46BC5" w:rsidRPr="00B46BC5">
        <w:rPr>
          <w:i/>
          <w:sz w:val="20"/>
          <w:lang w:eastAsia="ko-KR"/>
        </w:rPr>
        <w:t xml:space="preserve">the details of FG 16-8 should be </w:t>
      </w:r>
      <w:r w:rsidR="00163174">
        <w:rPr>
          <w:i/>
          <w:sz w:val="20"/>
          <w:lang w:eastAsia="ko-KR"/>
        </w:rPr>
        <w:t xml:space="preserve">discussed </w:t>
      </w:r>
      <w:r w:rsidR="00B46BC5" w:rsidRPr="00B46BC5">
        <w:rPr>
          <w:i/>
          <w:sz w:val="20"/>
          <w:lang w:eastAsia="ko-KR"/>
        </w:rPr>
        <w:t>based on the assumption that a mixed codebook type shall not include more than one TypeII codebooks</w:t>
      </w:r>
      <w:r w:rsidR="00B46BC5">
        <w:rPr>
          <w:i/>
          <w:sz w:val="20"/>
          <w:lang w:eastAsia="ko-KR"/>
        </w:rPr>
        <w:t>.</w:t>
      </w:r>
    </w:p>
    <w:p w14:paraId="290536BC" w14:textId="37EF12C8" w:rsidR="00877448" w:rsidRPr="00163174" w:rsidRDefault="00877448" w:rsidP="00B46BC5">
      <w:pPr>
        <w:pStyle w:val="01Section1"/>
        <w:numPr>
          <w:ilvl w:val="0"/>
          <w:numId w:val="0"/>
        </w:numPr>
        <w:spacing w:before="0"/>
        <w:rPr>
          <w:rFonts w:ascii="Times New Roman" w:hAnsi="Times New Roman"/>
          <w:sz w:val="20"/>
          <w:szCs w:val="20"/>
          <w:lang w:val="en-US"/>
        </w:rPr>
      </w:pPr>
    </w:p>
    <w:p w14:paraId="2D981A3F" w14:textId="7E0BE2B5"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6C17F1F1" w:rsidR="00BE549F" w:rsidRDefault="00981DD8" w:rsidP="00981DD8">
      <w:pPr>
        <w:pStyle w:val="0Maintext"/>
        <w:spacing w:after="120" w:afterAutospacing="0"/>
        <w:ind w:firstLine="450"/>
        <w:rPr>
          <w:lang w:val="en-US"/>
        </w:rPr>
      </w:pPr>
      <w:r>
        <w:rPr>
          <w:lang w:val="en-US"/>
        </w:rPr>
        <w:t>In this contribution, the following proposal</w:t>
      </w:r>
      <w:r w:rsidR="0025756D">
        <w:rPr>
          <w:lang w:val="en-US"/>
        </w:rPr>
        <w:t>s</w:t>
      </w:r>
      <w:r>
        <w:rPr>
          <w:lang w:val="en-US"/>
        </w:rPr>
        <w:t xml:space="preserve"> are given: </w:t>
      </w:r>
    </w:p>
    <w:p w14:paraId="16221366" w14:textId="77777777" w:rsidR="004278A2" w:rsidRPr="00CC2301" w:rsidRDefault="0023467D" w:rsidP="004278A2">
      <w:pPr>
        <w:spacing w:after="0"/>
        <w:rPr>
          <w:i/>
          <w:sz w:val="20"/>
          <w:lang w:eastAsia="ko-KR"/>
        </w:rPr>
      </w:pPr>
      <w:r w:rsidRPr="00253604">
        <w:rPr>
          <w:i/>
          <w:sz w:val="20"/>
          <w:lang w:eastAsia="ko-KR"/>
        </w:rPr>
        <w:t xml:space="preserve"> </w:t>
      </w:r>
      <w:r w:rsidR="004278A2" w:rsidRPr="00CC2301">
        <w:rPr>
          <w:b/>
          <w:i/>
          <w:sz w:val="20"/>
          <w:lang w:eastAsia="ko-KR"/>
        </w:rPr>
        <w:t>Proposal 1</w:t>
      </w:r>
      <w:r w:rsidR="004278A2" w:rsidRPr="00CC2301">
        <w:rPr>
          <w:i/>
          <w:sz w:val="20"/>
          <w:lang w:eastAsia="ko-KR"/>
        </w:rPr>
        <w:t>: Support Option 1</w:t>
      </w:r>
      <w:r w:rsidR="004278A2">
        <w:rPr>
          <w:i/>
          <w:sz w:val="20"/>
          <w:lang w:eastAsia="ko-KR"/>
        </w:rPr>
        <w:t xml:space="preserve"> for Rel. 16 eTypeII CBSR, i.e.,</w:t>
      </w:r>
    </w:p>
    <w:p w14:paraId="344EE5EE" w14:textId="77777777" w:rsidR="004278A2" w:rsidRPr="00CC2301" w:rsidRDefault="004278A2" w:rsidP="004278A2">
      <w:pPr>
        <w:pStyle w:val="ListParagraph"/>
        <w:numPr>
          <w:ilvl w:val="0"/>
          <w:numId w:val="48"/>
        </w:numPr>
        <w:spacing w:after="0"/>
        <w:ind w:leftChars="0"/>
        <w:rPr>
          <w:i/>
          <w:color w:val="000000" w:themeColor="text1"/>
          <w:sz w:val="20"/>
          <w:lang w:eastAsia="ko-KR"/>
        </w:rPr>
      </w:pPr>
      <w:r w:rsidRPr="00CC2301">
        <w:rPr>
          <w:i/>
          <w:sz w:val="20"/>
        </w:rPr>
        <w:t>FG 16-3a includes #4 basis component - CBSR with hard amplitude restriction</w:t>
      </w:r>
    </w:p>
    <w:p w14:paraId="51D7A5F0" w14:textId="0990B10D" w:rsidR="004278A2" w:rsidRPr="009A5EE4" w:rsidRDefault="004278A2" w:rsidP="004278A2">
      <w:pPr>
        <w:pStyle w:val="ListParagraph"/>
        <w:numPr>
          <w:ilvl w:val="0"/>
          <w:numId w:val="48"/>
        </w:numPr>
        <w:spacing w:after="0"/>
        <w:ind w:leftChars="0"/>
        <w:rPr>
          <w:i/>
          <w:color w:val="000000" w:themeColor="text1"/>
          <w:sz w:val="20"/>
          <w:lang w:eastAsia="ko-KR"/>
        </w:rPr>
      </w:pPr>
      <w:r w:rsidRPr="00CC2301">
        <w:rPr>
          <w:i/>
          <w:sz w:val="20"/>
        </w:rPr>
        <w:t>FG 16-3a-4 includes CBSR with soft amplitude restriction</w:t>
      </w:r>
    </w:p>
    <w:p w14:paraId="0EE4E830" w14:textId="33CAE3ED" w:rsidR="009A5EE4" w:rsidRPr="009A5EE4" w:rsidRDefault="009A5EE4" w:rsidP="009A5EE4">
      <w:pPr>
        <w:pStyle w:val="ListParagraph"/>
        <w:numPr>
          <w:ilvl w:val="0"/>
          <w:numId w:val="48"/>
        </w:numPr>
        <w:spacing w:after="0"/>
        <w:ind w:leftChars="0"/>
        <w:rPr>
          <w:i/>
          <w:color w:val="000000" w:themeColor="text1"/>
          <w:sz w:val="20"/>
          <w:lang w:eastAsia="ko-KR"/>
        </w:rPr>
      </w:pPr>
      <w:r>
        <w:rPr>
          <w:i/>
          <w:sz w:val="20"/>
        </w:rPr>
        <w:t xml:space="preserve">Reuse parameter Rel.15 </w:t>
      </w:r>
      <w:r w:rsidRPr="00D939FF">
        <w:rPr>
          <w:i/>
          <w:iCs/>
          <w:sz w:val="20"/>
        </w:rPr>
        <w:t>amplitudeSubsetRestriction</w:t>
      </w:r>
      <w:r>
        <w:rPr>
          <w:i/>
          <w:iCs/>
          <w:sz w:val="20"/>
        </w:rPr>
        <w:t xml:space="preserve"> for soft amplitude restriction</w:t>
      </w:r>
    </w:p>
    <w:p w14:paraId="65A357E5" w14:textId="77777777" w:rsidR="00163174" w:rsidRDefault="00163174" w:rsidP="00163174">
      <w:pPr>
        <w:rPr>
          <w:b/>
          <w:i/>
          <w:sz w:val="20"/>
          <w:lang w:eastAsia="ko-KR"/>
        </w:rPr>
      </w:pPr>
    </w:p>
    <w:p w14:paraId="2520D90C" w14:textId="78335DD3" w:rsidR="00163174" w:rsidRPr="00D939FF" w:rsidRDefault="00163174" w:rsidP="00163174">
      <w:pPr>
        <w:rPr>
          <w:i/>
          <w:sz w:val="20"/>
          <w:lang w:eastAsia="ko-KR"/>
        </w:rPr>
      </w:pPr>
      <w:r>
        <w:rPr>
          <w:b/>
          <w:i/>
          <w:sz w:val="20"/>
          <w:lang w:eastAsia="ko-KR"/>
        </w:rPr>
        <w:t>Proposal 2</w:t>
      </w:r>
      <w:r w:rsidRPr="00D939FF">
        <w:rPr>
          <w:i/>
          <w:sz w:val="20"/>
          <w:lang w:eastAsia="ko-KR"/>
        </w:rPr>
        <w:t>:</w:t>
      </w:r>
      <w:r>
        <w:rPr>
          <w:i/>
          <w:sz w:val="20"/>
          <w:lang w:eastAsia="ko-KR"/>
        </w:rPr>
        <w:t xml:space="preserve"> </w:t>
      </w:r>
      <w:r w:rsidRPr="00B46BC5">
        <w:rPr>
          <w:i/>
          <w:sz w:val="20"/>
          <w:lang w:eastAsia="ko-KR"/>
        </w:rPr>
        <w:t xml:space="preserve">the details of FG 16-8 should be </w:t>
      </w:r>
      <w:r>
        <w:rPr>
          <w:i/>
          <w:sz w:val="20"/>
          <w:lang w:eastAsia="ko-KR"/>
        </w:rPr>
        <w:t xml:space="preserve">discussed </w:t>
      </w:r>
      <w:r w:rsidRPr="00B46BC5">
        <w:rPr>
          <w:i/>
          <w:sz w:val="20"/>
          <w:lang w:eastAsia="ko-KR"/>
        </w:rPr>
        <w:t>based on the assumption that a mixed codebook type shall not include more than one TypeII codebooks</w:t>
      </w:r>
      <w:r>
        <w:rPr>
          <w:i/>
          <w:sz w:val="20"/>
          <w:lang w:eastAsia="ko-KR"/>
        </w:rPr>
        <w:t>.</w:t>
      </w:r>
    </w:p>
    <w:p w14:paraId="3C140045" w14:textId="77777777" w:rsidR="00B246F4" w:rsidRPr="00082D37" w:rsidRDefault="00B246F4" w:rsidP="00A47EE1">
      <w:pPr>
        <w:pStyle w:val="0Maintext"/>
        <w:spacing w:after="120" w:afterAutospacing="0"/>
        <w:ind w:firstLine="450"/>
        <w:rPr>
          <w:lang w:val="en-US"/>
        </w:rPr>
      </w:pPr>
    </w:p>
    <w:p w14:paraId="7EF669F0" w14:textId="24D8C190" w:rsidR="000F762B" w:rsidRPr="00082D37" w:rsidRDefault="000F762B" w:rsidP="00FB6F1A">
      <w:pPr>
        <w:pStyle w:val="Heading1"/>
        <w:spacing w:before="0"/>
        <w:jc w:val="both"/>
        <w:rPr>
          <w:lang w:val="en-US"/>
        </w:rPr>
      </w:pPr>
      <w:r w:rsidRPr="00082D37">
        <w:rPr>
          <w:lang w:val="en-US"/>
        </w:rPr>
        <w:t>References</w:t>
      </w:r>
    </w:p>
    <w:p w14:paraId="45C0BCAA" w14:textId="632448F6" w:rsidR="00AF1430" w:rsidRPr="00200BC5" w:rsidRDefault="00AF1430" w:rsidP="00200BC5">
      <w:pPr>
        <w:pStyle w:val="ListParagraph"/>
        <w:numPr>
          <w:ilvl w:val="0"/>
          <w:numId w:val="5"/>
        </w:numPr>
        <w:ind w:leftChars="0"/>
        <w:rPr>
          <w:rFonts w:cs="Batang"/>
          <w:sz w:val="20"/>
          <w:lang w:val="en-US" w:eastAsia="ko-KR"/>
        </w:rPr>
      </w:pPr>
      <w:r w:rsidRPr="00AF1430">
        <w:rPr>
          <w:rFonts w:cs="Batang"/>
          <w:sz w:val="20"/>
          <w:lang w:val="en-US" w:eastAsia="ko-KR"/>
        </w:rPr>
        <w:t>R1-2003073, “RAN1 UE features list for Rel-16 NR after RAN1#100bis-E,” AT&amp;T/NTT DOCOMO, INC.</w:t>
      </w:r>
    </w:p>
    <w:sectPr w:rsidR="00AF1430" w:rsidRPr="00200BC5" w:rsidSect="00667E9F">
      <w:headerReference w:type="defaul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0E873" w14:textId="77777777" w:rsidR="00AD27E5" w:rsidRDefault="00AD27E5">
      <w:r>
        <w:separator/>
      </w:r>
    </w:p>
  </w:endnote>
  <w:endnote w:type="continuationSeparator" w:id="0">
    <w:p w14:paraId="63287C1A" w14:textId="77777777" w:rsidR="00AD27E5" w:rsidRDefault="00AD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6AFD5" w14:textId="77777777" w:rsidR="00AD27E5" w:rsidRDefault="00AD27E5">
      <w:r>
        <w:separator/>
      </w:r>
    </w:p>
  </w:footnote>
  <w:footnote w:type="continuationSeparator" w:id="0">
    <w:p w14:paraId="0CA05EA5" w14:textId="77777777" w:rsidR="00AD27E5" w:rsidRDefault="00AD2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831B2" w:rsidRDefault="004831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30CD6"/>
    <w:multiLevelType w:val="hybridMultilevel"/>
    <w:tmpl w:val="50621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675CFC"/>
    <w:multiLevelType w:val="hybridMultilevel"/>
    <w:tmpl w:val="4F8E609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D11DB1"/>
    <w:multiLevelType w:val="hybridMultilevel"/>
    <w:tmpl w:val="2A4E7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DAFA621E"/>
    <w:lvl w:ilvl="0">
      <w:start w:val="1"/>
      <w:numFmt w:val="decimal"/>
      <w:pStyle w:val="Heading1"/>
      <w:lvlText w:val="%1"/>
      <w:lvlJc w:val="left"/>
      <w:pPr>
        <w:ind w:left="193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527232"/>
    <w:multiLevelType w:val="hybridMultilevel"/>
    <w:tmpl w:val="4684A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E000A"/>
    <w:multiLevelType w:val="hybridMultilevel"/>
    <w:tmpl w:val="4D80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33179"/>
    <w:multiLevelType w:val="hybridMultilevel"/>
    <w:tmpl w:val="7C0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77ABC"/>
    <w:multiLevelType w:val="hybridMultilevel"/>
    <w:tmpl w:val="B8D8A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F222DC"/>
    <w:multiLevelType w:val="hybridMultilevel"/>
    <w:tmpl w:val="8014EA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31"/>
  </w:num>
  <w:num w:numId="4">
    <w:abstractNumId w:val="40"/>
  </w:num>
  <w:num w:numId="5">
    <w:abstractNumId w:val="3"/>
  </w:num>
  <w:num w:numId="6">
    <w:abstractNumId w:val="2"/>
  </w:num>
  <w:num w:numId="7">
    <w:abstractNumId w:val="32"/>
  </w:num>
  <w:num w:numId="8">
    <w:abstractNumId w:val="36"/>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6"/>
  </w:num>
  <w:num w:numId="12">
    <w:abstractNumId w:val="23"/>
  </w:num>
  <w:num w:numId="13">
    <w:abstractNumId w:val="18"/>
  </w:num>
  <w:num w:numId="14">
    <w:abstractNumId w:val="19"/>
  </w:num>
  <w:num w:numId="15">
    <w:abstractNumId w:val="1"/>
  </w:num>
  <w:num w:numId="16">
    <w:abstractNumId w:val="41"/>
  </w:num>
  <w:num w:numId="17">
    <w:abstractNumId w:val="13"/>
  </w:num>
  <w:num w:numId="18">
    <w:abstractNumId w:val="0"/>
  </w:num>
  <w:num w:numId="19">
    <w:abstractNumId w:val="30"/>
  </w:num>
  <w:num w:numId="20">
    <w:abstractNumId w:val="26"/>
  </w:num>
  <w:num w:numId="21">
    <w:abstractNumId w:val="46"/>
  </w:num>
  <w:num w:numId="22">
    <w:abstractNumId w:val="27"/>
  </w:num>
  <w:num w:numId="23">
    <w:abstractNumId w:val="42"/>
  </w:num>
  <w:num w:numId="24">
    <w:abstractNumId w:val="21"/>
  </w:num>
  <w:num w:numId="25">
    <w:abstractNumId w:val="17"/>
  </w:num>
  <w:num w:numId="26">
    <w:abstractNumId w:val="12"/>
  </w:num>
  <w:num w:numId="27">
    <w:abstractNumId w:val="28"/>
  </w:num>
  <w:num w:numId="28">
    <w:abstractNumId w:val="44"/>
  </w:num>
  <w:num w:numId="29">
    <w:abstractNumId w:val="38"/>
  </w:num>
  <w:num w:numId="30">
    <w:abstractNumId w:val="6"/>
  </w:num>
  <w:num w:numId="31">
    <w:abstractNumId w:val="47"/>
  </w:num>
  <w:num w:numId="32">
    <w:abstractNumId w:val="15"/>
  </w:num>
  <w:num w:numId="33">
    <w:abstractNumId w:val="39"/>
  </w:num>
  <w:num w:numId="34">
    <w:abstractNumId w:val="11"/>
  </w:num>
  <w:num w:numId="35">
    <w:abstractNumId w:val="35"/>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5"/>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24"/>
  </w:num>
  <w:num w:numId="42">
    <w:abstractNumId w:val="33"/>
  </w:num>
  <w:num w:numId="43">
    <w:abstractNumId w:val="5"/>
  </w:num>
  <w:num w:numId="44">
    <w:abstractNumId w:val="37"/>
  </w:num>
  <w:num w:numId="45">
    <w:abstractNumId w:val="10"/>
  </w:num>
  <w:num w:numId="46">
    <w:abstractNumId w:val="20"/>
  </w:num>
  <w:num w:numId="47">
    <w:abstractNumId w:val="4"/>
  </w:num>
  <w:num w:numId="48">
    <w:abstractNumId w:val="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DC9"/>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400"/>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D53"/>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496B"/>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2E8C"/>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B1D"/>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EEB"/>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AAE"/>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668"/>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9B0"/>
    <w:rsid w:val="00147BF0"/>
    <w:rsid w:val="001503B7"/>
    <w:rsid w:val="00150806"/>
    <w:rsid w:val="001512E6"/>
    <w:rsid w:val="001517B8"/>
    <w:rsid w:val="00151AAB"/>
    <w:rsid w:val="00151C51"/>
    <w:rsid w:val="00151EFF"/>
    <w:rsid w:val="001525EB"/>
    <w:rsid w:val="00152CDA"/>
    <w:rsid w:val="001535CB"/>
    <w:rsid w:val="0015444C"/>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174"/>
    <w:rsid w:val="00163520"/>
    <w:rsid w:val="001639BD"/>
    <w:rsid w:val="00163D88"/>
    <w:rsid w:val="00163FD4"/>
    <w:rsid w:val="00164127"/>
    <w:rsid w:val="00164498"/>
    <w:rsid w:val="0016479B"/>
    <w:rsid w:val="001649A0"/>
    <w:rsid w:val="00164A8F"/>
    <w:rsid w:val="001651F7"/>
    <w:rsid w:val="00165472"/>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6"/>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5CA"/>
    <w:rsid w:val="00196912"/>
    <w:rsid w:val="00196998"/>
    <w:rsid w:val="001971E7"/>
    <w:rsid w:val="00197671"/>
    <w:rsid w:val="00197933"/>
    <w:rsid w:val="00197BA4"/>
    <w:rsid w:val="00197DFB"/>
    <w:rsid w:val="001A0748"/>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A21"/>
    <w:rsid w:val="001D5C1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BC5"/>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1EB4"/>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2F7"/>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9C2"/>
    <w:rsid w:val="002279EE"/>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7D"/>
    <w:rsid w:val="0023468C"/>
    <w:rsid w:val="0023491C"/>
    <w:rsid w:val="002351BF"/>
    <w:rsid w:val="002354CF"/>
    <w:rsid w:val="00235759"/>
    <w:rsid w:val="0023581D"/>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3604"/>
    <w:rsid w:val="002544F9"/>
    <w:rsid w:val="00255EFC"/>
    <w:rsid w:val="002560EC"/>
    <w:rsid w:val="00256362"/>
    <w:rsid w:val="002563EA"/>
    <w:rsid w:val="0025650D"/>
    <w:rsid w:val="00256654"/>
    <w:rsid w:val="0025697E"/>
    <w:rsid w:val="00256CA6"/>
    <w:rsid w:val="00257465"/>
    <w:rsid w:val="0025749E"/>
    <w:rsid w:val="00257528"/>
    <w:rsid w:val="0025756D"/>
    <w:rsid w:val="002576FF"/>
    <w:rsid w:val="00257719"/>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E9E"/>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3A7"/>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A67"/>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1A5"/>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98A"/>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0D4"/>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4B4"/>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3F6"/>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5B3"/>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4CDA"/>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CA8"/>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8B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63"/>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4EB3"/>
    <w:rsid w:val="004158FF"/>
    <w:rsid w:val="004159A7"/>
    <w:rsid w:val="004159CB"/>
    <w:rsid w:val="00415E0E"/>
    <w:rsid w:val="00415E27"/>
    <w:rsid w:val="00415FCE"/>
    <w:rsid w:val="004169A3"/>
    <w:rsid w:val="00416DA2"/>
    <w:rsid w:val="00416F04"/>
    <w:rsid w:val="0041700C"/>
    <w:rsid w:val="00417513"/>
    <w:rsid w:val="00417DC5"/>
    <w:rsid w:val="00417E7C"/>
    <w:rsid w:val="0042030B"/>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A2"/>
    <w:rsid w:val="004278B3"/>
    <w:rsid w:val="004300DC"/>
    <w:rsid w:val="00430452"/>
    <w:rsid w:val="0043073B"/>
    <w:rsid w:val="00430E9E"/>
    <w:rsid w:val="0043125B"/>
    <w:rsid w:val="004317CB"/>
    <w:rsid w:val="00431DB2"/>
    <w:rsid w:val="0043232E"/>
    <w:rsid w:val="00432971"/>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9D6"/>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545"/>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3F1"/>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1EA"/>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4D9"/>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5B"/>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73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3C"/>
    <w:rsid w:val="00584343"/>
    <w:rsid w:val="0058443F"/>
    <w:rsid w:val="0058459F"/>
    <w:rsid w:val="0058463D"/>
    <w:rsid w:val="0058493F"/>
    <w:rsid w:val="005849C2"/>
    <w:rsid w:val="00584B0C"/>
    <w:rsid w:val="00585690"/>
    <w:rsid w:val="00585900"/>
    <w:rsid w:val="00585D0E"/>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5CD"/>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CC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4C3"/>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6F4D"/>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E0F"/>
    <w:rsid w:val="00603E6A"/>
    <w:rsid w:val="00603EF6"/>
    <w:rsid w:val="006045A4"/>
    <w:rsid w:val="00604BA4"/>
    <w:rsid w:val="00604C11"/>
    <w:rsid w:val="00604DF3"/>
    <w:rsid w:val="006052A7"/>
    <w:rsid w:val="006052A9"/>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04A"/>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60E"/>
    <w:rsid w:val="00635FD4"/>
    <w:rsid w:val="0063687E"/>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440"/>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CE7"/>
    <w:rsid w:val="006A60DA"/>
    <w:rsid w:val="006A6119"/>
    <w:rsid w:val="006A65A0"/>
    <w:rsid w:val="006A6660"/>
    <w:rsid w:val="006A6A20"/>
    <w:rsid w:val="006A6FAD"/>
    <w:rsid w:val="006A7131"/>
    <w:rsid w:val="006A727C"/>
    <w:rsid w:val="006A76EA"/>
    <w:rsid w:val="006B07D4"/>
    <w:rsid w:val="006B0849"/>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09"/>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EF4"/>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D8C"/>
    <w:rsid w:val="006E6752"/>
    <w:rsid w:val="006E6A76"/>
    <w:rsid w:val="006E6B50"/>
    <w:rsid w:val="006E6B61"/>
    <w:rsid w:val="006E6FCA"/>
    <w:rsid w:val="006E7137"/>
    <w:rsid w:val="006E75D7"/>
    <w:rsid w:val="006E760D"/>
    <w:rsid w:val="006E76DB"/>
    <w:rsid w:val="006E7C6E"/>
    <w:rsid w:val="006F0777"/>
    <w:rsid w:val="006F0969"/>
    <w:rsid w:val="006F0CB4"/>
    <w:rsid w:val="006F13C5"/>
    <w:rsid w:val="006F15BA"/>
    <w:rsid w:val="006F1953"/>
    <w:rsid w:val="006F199F"/>
    <w:rsid w:val="006F1CA5"/>
    <w:rsid w:val="006F204A"/>
    <w:rsid w:val="006F2387"/>
    <w:rsid w:val="006F27CA"/>
    <w:rsid w:val="006F2B65"/>
    <w:rsid w:val="006F2C9D"/>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0BB6"/>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977"/>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9F0"/>
    <w:rsid w:val="00752EC4"/>
    <w:rsid w:val="007533CE"/>
    <w:rsid w:val="0075357D"/>
    <w:rsid w:val="007536E4"/>
    <w:rsid w:val="007539DF"/>
    <w:rsid w:val="00753A41"/>
    <w:rsid w:val="007540C3"/>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946"/>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B6F"/>
    <w:rsid w:val="00787D0F"/>
    <w:rsid w:val="007901FD"/>
    <w:rsid w:val="007902B1"/>
    <w:rsid w:val="0079048D"/>
    <w:rsid w:val="007905EE"/>
    <w:rsid w:val="00790D82"/>
    <w:rsid w:val="00791050"/>
    <w:rsid w:val="0079131C"/>
    <w:rsid w:val="0079133C"/>
    <w:rsid w:val="00791704"/>
    <w:rsid w:val="00791981"/>
    <w:rsid w:val="00791E44"/>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1A3D"/>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65F9"/>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B8"/>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5FB8"/>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483"/>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597"/>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1E1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6D3"/>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3A3"/>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69C"/>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672"/>
    <w:rsid w:val="00876739"/>
    <w:rsid w:val="00877054"/>
    <w:rsid w:val="00877288"/>
    <w:rsid w:val="0087744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2F03"/>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293"/>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2C"/>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EC9"/>
    <w:rsid w:val="0092608D"/>
    <w:rsid w:val="0092678B"/>
    <w:rsid w:val="00926844"/>
    <w:rsid w:val="00926CA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06"/>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5F17"/>
    <w:rsid w:val="00966452"/>
    <w:rsid w:val="00966712"/>
    <w:rsid w:val="00966A6B"/>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FE6"/>
    <w:rsid w:val="009742CE"/>
    <w:rsid w:val="0097459E"/>
    <w:rsid w:val="00974700"/>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2A4"/>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EE4"/>
    <w:rsid w:val="009A61DA"/>
    <w:rsid w:val="009A6277"/>
    <w:rsid w:val="009A6299"/>
    <w:rsid w:val="009A6C4C"/>
    <w:rsid w:val="009A6D58"/>
    <w:rsid w:val="009A724C"/>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8E6"/>
    <w:rsid w:val="009C2DD9"/>
    <w:rsid w:val="009C30D9"/>
    <w:rsid w:val="009C3762"/>
    <w:rsid w:val="009C3799"/>
    <w:rsid w:val="009C3A0D"/>
    <w:rsid w:val="009C3BC9"/>
    <w:rsid w:val="009C3DC0"/>
    <w:rsid w:val="009C43E2"/>
    <w:rsid w:val="009C4503"/>
    <w:rsid w:val="009C48EC"/>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2D1F"/>
    <w:rsid w:val="009E3030"/>
    <w:rsid w:val="009E33FB"/>
    <w:rsid w:val="009E3845"/>
    <w:rsid w:val="009E3868"/>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3E0"/>
    <w:rsid w:val="009F64CD"/>
    <w:rsid w:val="009F64D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973"/>
    <w:rsid w:val="00A06C81"/>
    <w:rsid w:val="00A0774C"/>
    <w:rsid w:val="00A07B56"/>
    <w:rsid w:val="00A1007C"/>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1BA"/>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5FC0"/>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0FDD"/>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67C66"/>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4BA"/>
    <w:rsid w:val="00A7556C"/>
    <w:rsid w:val="00A75758"/>
    <w:rsid w:val="00A7595D"/>
    <w:rsid w:val="00A7598C"/>
    <w:rsid w:val="00A759AF"/>
    <w:rsid w:val="00A759C6"/>
    <w:rsid w:val="00A76D57"/>
    <w:rsid w:val="00A77092"/>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476"/>
    <w:rsid w:val="00A9350A"/>
    <w:rsid w:val="00A94031"/>
    <w:rsid w:val="00A9473E"/>
    <w:rsid w:val="00A94CF8"/>
    <w:rsid w:val="00A950B4"/>
    <w:rsid w:val="00A9571F"/>
    <w:rsid w:val="00A96360"/>
    <w:rsid w:val="00A963DA"/>
    <w:rsid w:val="00A968BE"/>
    <w:rsid w:val="00A96A82"/>
    <w:rsid w:val="00A96A9F"/>
    <w:rsid w:val="00A972B3"/>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461"/>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27E5"/>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159"/>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43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BC5"/>
    <w:rsid w:val="00B46DC9"/>
    <w:rsid w:val="00B46EB1"/>
    <w:rsid w:val="00B470D6"/>
    <w:rsid w:val="00B473B9"/>
    <w:rsid w:val="00B5010B"/>
    <w:rsid w:val="00B5040A"/>
    <w:rsid w:val="00B5077D"/>
    <w:rsid w:val="00B50ACA"/>
    <w:rsid w:val="00B50E15"/>
    <w:rsid w:val="00B5174E"/>
    <w:rsid w:val="00B51895"/>
    <w:rsid w:val="00B51924"/>
    <w:rsid w:val="00B534DB"/>
    <w:rsid w:val="00B53B8E"/>
    <w:rsid w:val="00B54334"/>
    <w:rsid w:val="00B54B17"/>
    <w:rsid w:val="00B54F7F"/>
    <w:rsid w:val="00B5526D"/>
    <w:rsid w:val="00B558A7"/>
    <w:rsid w:val="00B565E6"/>
    <w:rsid w:val="00B56873"/>
    <w:rsid w:val="00B569D9"/>
    <w:rsid w:val="00B56C06"/>
    <w:rsid w:val="00B56DEC"/>
    <w:rsid w:val="00B57658"/>
    <w:rsid w:val="00B579BD"/>
    <w:rsid w:val="00B57A62"/>
    <w:rsid w:val="00B57CFD"/>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C8F"/>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20"/>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2D6"/>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270"/>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8A1"/>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5FEA"/>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84D"/>
    <w:rsid w:val="00C16D7B"/>
    <w:rsid w:val="00C17057"/>
    <w:rsid w:val="00C17342"/>
    <w:rsid w:val="00C17876"/>
    <w:rsid w:val="00C17A00"/>
    <w:rsid w:val="00C2042E"/>
    <w:rsid w:val="00C204CD"/>
    <w:rsid w:val="00C2076D"/>
    <w:rsid w:val="00C2088A"/>
    <w:rsid w:val="00C20B45"/>
    <w:rsid w:val="00C20C78"/>
    <w:rsid w:val="00C215D0"/>
    <w:rsid w:val="00C21DCD"/>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5B"/>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173"/>
    <w:rsid w:val="00C3625E"/>
    <w:rsid w:val="00C362DE"/>
    <w:rsid w:val="00C370D2"/>
    <w:rsid w:val="00C37B59"/>
    <w:rsid w:val="00C37DBC"/>
    <w:rsid w:val="00C40132"/>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850"/>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54E"/>
    <w:rsid w:val="00C91604"/>
    <w:rsid w:val="00C918EE"/>
    <w:rsid w:val="00C91A3E"/>
    <w:rsid w:val="00C91E84"/>
    <w:rsid w:val="00C91FC2"/>
    <w:rsid w:val="00C9223F"/>
    <w:rsid w:val="00C92340"/>
    <w:rsid w:val="00C92CE0"/>
    <w:rsid w:val="00C92E06"/>
    <w:rsid w:val="00C93759"/>
    <w:rsid w:val="00C93BF1"/>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4FE"/>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301"/>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35EB"/>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541"/>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AAB"/>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6A2"/>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FF5"/>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0D1"/>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3E7"/>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2EF7"/>
    <w:rsid w:val="00D93343"/>
    <w:rsid w:val="00D934C8"/>
    <w:rsid w:val="00D937A4"/>
    <w:rsid w:val="00D9382E"/>
    <w:rsid w:val="00D939FF"/>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273"/>
    <w:rsid w:val="00DB2E43"/>
    <w:rsid w:val="00DB2F20"/>
    <w:rsid w:val="00DB31EE"/>
    <w:rsid w:val="00DB3288"/>
    <w:rsid w:val="00DB3B85"/>
    <w:rsid w:val="00DB3F69"/>
    <w:rsid w:val="00DB4661"/>
    <w:rsid w:val="00DB5384"/>
    <w:rsid w:val="00DB5580"/>
    <w:rsid w:val="00DB5DD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073"/>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5D3"/>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359"/>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66F"/>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5A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C6C"/>
    <w:rsid w:val="00F22EC0"/>
    <w:rsid w:val="00F23619"/>
    <w:rsid w:val="00F2372B"/>
    <w:rsid w:val="00F23D08"/>
    <w:rsid w:val="00F245AD"/>
    <w:rsid w:val="00F24910"/>
    <w:rsid w:val="00F24981"/>
    <w:rsid w:val="00F24E54"/>
    <w:rsid w:val="00F24EFB"/>
    <w:rsid w:val="00F24F55"/>
    <w:rsid w:val="00F256C8"/>
    <w:rsid w:val="00F25F00"/>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1"/>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4D53"/>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77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5891"/>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029"/>
    <w:rsid w:val="00FE53D4"/>
    <w:rsid w:val="00FE5A68"/>
    <w:rsid w:val="00FE5C15"/>
    <w:rsid w:val="00FE6656"/>
    <w:rsid w:val="00FE66AD"/>
    <w:rsid w:val="00FE69C1"/>
    <w:rsid w:val="00FE6E96"/>
    <w:rsid w:val="00FE715A"/>
    <w:rsid w:val="00FE7EC5"/>
    <w:rsid w:val="00FF0D0C"/>
    <w:rsid w:val="00FF1225"/>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130754">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390437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33491137">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4F08-A526-49A0-89FB-6AEF40A2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6311</TotalTime>
  <Pages>3</Pages>
  <Words>916</Words>
  <Characters>5224</Characters>
  <Application>Microsoft Office Word</Application>
  <DocSecurity>0</DocSecurity>
  <Lines>43</Lines>
  <Paragraphs>12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225</cp:revision>
  <cp:lastPrinted>2017-03-24T05:34:00Z</cp:lastPrinted>
  <dcterms:created xsi:type="dcterms:W3CDTF">2019-11-18T09:28:00Z</dcterms:created>
  <dcterms:modified xsi:type="dcterms:W3CDTF">2020-05-15T20:38:00Z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